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37C3" w14:textId="77777777" w:rsidR="002D1B87" w:rsidRPr="00BF7089" w:rsidRDefault="002D1B87" w:rsidP="00E5111C">
      <w:pPr>
        <w:jc w:val="center"/>
        <w:rPr>
          <w:rFonts w:asciiTheme="minorHAnsi" w:hAnsiTheme="minorHAnsi" w:cstheme="minorHAnsi"/>
          <w:b/>
          <w:color w:val="003845"/>
          <w:sz w:val="36"/>
          <w:szCs w:val="36"/>
        </w:rPr>
      </w:pPr>
      <w:r>
        <w:rPr>
          <w:rFonts w:asciiTheme="minorHAnsi" w:hAnsiTheme="minorHAnsi"/>
          <w:b/>
          <w:color w:val="003845"/>
          <w:sz w:val="36"/>
          <w:szCs w:val="36"/>
        </w:rPr>
        <w:t xml:space="preserve">Tallinna </w:t>
      </w:r>
      <w:bookmarkStart w:id="0" w:name="_GoBack"/>
      <w:r>
        <w:rPr>
          <w:rFonts w:asciiTheme="minorHAnsi" w:hAnsiTheme="minorHAnsi"/>
          <w:b/>
          <w:color w:val="003845"/>
          <w:sz w:val="36"/>
          <w:szCs w:val="36"/>
        </w:rPr>
        <w:t>Kauba</w:t>
      </w:r>
      <w:bookmarkEnd w:id="0"/>
      <w:r>
        <w:rPr>
          <w:rFonts w:asciiTheme="minorHAnsi" w:hAnsiTheme="minorHAnsi"/>
          <w:b/>
          <w:color w:val="003845"/>
          <w:sz w:val="36"/>
          <w:szCs w:val="36"/>
        </w:rPr>
        <w:t>maja Grupp AS</w:t>
      </w:r>
    </w:p>
    <w:p w14:paraId="3FE80117" w14:textId="75248784" w:rsidR="002D1B87" w:rsidRPr="00BF7089" w:rsidRDefault="00057B69" w:rsidP="00E5111C">
      <w:pPr>
        <w:jc w:val="center"/>
        <w:rPr>
          <w:rFonts w:asciiTheme="minorHAnsi" w:eastAsia="Dotum" w:hAnsiTheme="minorHAnsi" w:cstheme="minorHAnsi"/>
          <w:b/>
          <w:color w:val="003845"/>
          <w:sz w:val="36"/>
          <w:szCs w:val="36"/>
          <w14:textFill>
            <w14:solidFill>
              <w14:srgbClr w14:val="003845">
                <w14:alpha w14:val="31000"/>
              </w14:srgbClr>
            </w14:solidFill>
          </w14:textFill>
        </w:rPr>
      </w:pPr>
      <w:r>
        <w:rPr>
          <w:rFonts w:asciiTheme="minorHAnsi" w:hAnsiTheme="minorHAnsi"/>
          <w:b/>
          <w:color w:val="003845"/>
          <w:sz w:val="36"/>
          <w:szCs w:val="36"/>
          <w14:textFill>
            <w14:solidFill>
              <w14:srgbClr w14:val="003845">
                <w14:alpha w14:val="31000"/>
              </w14:srgbClr>
            </w14:solidFill>
          </w14:textFill>
        </w:rPr>
        <w:t xml:space="preserve">Principles for the remuneration of members of the </w:t>
      </w:r>
      <w:r w:rsidR="00721DE0">
        <w:rPr>
          <w:rFonts w:asciiTheme="minorHAnsi" w:hAnsiTheme="minorHAnsi"/>
          <w:b/>
          <w:color w:val="003845"/>
          <w:sz w:val="36"/>
          <w:szCs w:val="36"/>
          <w14:textFill>
            <w14:solidFill>
              <w14:srgbClr w14:val="003845">
                <w14:alpha w14:val="31000"/>
              </w14:srgbClr>
            </w14:solidFill>
          </w14:textFill>
        </w:rPr>
        <w:t>Management</w:t>
      </w:r>
      <w:r>
        <w:rPr>
          <w:rFonts w:asciiTheme="minorHAnsi" w:hAnsiTheme="minorHAnsi"/>
          <w:b/>
          <w:color w:val="003845"/>
          <w:sz w:val="36"/>
          <w:szCs w:val="36"/>
          <w14:textFill>
            <w14:solidFill>
              <w14:srgbClr w14:val="003845">
                <w14:alpha w14:val="31000"/>
              </w14:srgbClr>
            </w14:solidFill>
          </w14:textFill>
        </w:rPr>
        <w:t xml:space="preserve"> Board</w:t>
      </w:r>
    </w:p>
    <w:p w14:paraId="7CDF1B23" w14:textId="162106E0" w:rsidR="002D1B87" w:rsidRPr="00BF7089" w:rsidRDefault="002D1B87" w:rsidP="00E5111C">
      <w:pPr>
        <w:jc w:val="both"/>
        <w:rPr>
          <w:rFonts w:asciiTheme="minorHAnsi" w:eastAsia="Dotum" w:hAnsiTheme="minorHAnsi" w:cstheme="minorHAnsi"/>
          <w:b/>
          <w:color w:val="003845"/>
          <w14:textFill>
            <w14:solidFill>
              <w14:srgbClr w14:val="003845">
                <w14:alpha w14:val="31000"/>
              </w14:srgbClr>
            </w14:solidFill>
          </w14:textFill>
        </w:rPr>
      </w:pPr>
    </w:p>
    <w:p w14:paraId="383B5B9E" w14:textId="6F2C5407" w:rsidR="00BF7089" w:rsidRDefault="00BF7089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2A078D9" w14:textId="7828521F" w:rsidR="00341E45" w:rsidRPr="00525D65" w:rsidRDefault="00341E45" w:rsidP="00341E4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567" w:hanging="425"/>
        <w:jc w:val="both"/>
        <w:textAlignment w:val="baseline"/>
        <w:rPr>
          <w:rFonts w:asciiTheme="minorHAnsi" w:hAnsiTheme="minorHAnsi" w:cstheme="minorHAnsi"/>
          <w:b/>
          <w:color w:val="003845"/>
          <w:sz w:val="22"/>
          <w:szCs w:val="22"/>
        </w:rPr>
      </w:pPr>
      <w:r>
        <w:rPr>
          <w:rFonts w:asciiTheme="minorHAnsi" w:hAnsiTheme="minorHAnsi"/>
          <w:b/>
          <w:color w:val="003845"/>
          <w:sz w:val="22"/>
          <w:szCs w:val="22"/>
        </w:rPr>
        <w:t>General provisions</w:t>
      </w:r>
    </w:p>
    <w:p w14:paraId="6D154644" w14:textId="03EE7EC0" w:rsidR="003D0245" w:rsidRPr="00355368" w:rsidRDefault="003D0245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Th</w:t>
      </w:r>
      <w:r w:rsidR="00736A8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e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s</w:t>
      </w:r>
      <w:r w:rsidR="00736A8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e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remuneration </w:t>
      </w:r>
      <w:r w:rsidR="00736A8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principles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ha</w:t>
      </w:r>
      <w:r w:rsidR="00736A8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ve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been established on the basis of section 135² of the Securities Market Act and applies to the remuneration of the members of the </w:t>
      </w:r>
      <w:r w:rsidR="00721DE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of Tallinna Kaubamaja Grupp AS (hereinafter TKMG).</w:t>
      </w:r>
    </w:p>
    <w:p w14:paraId="5C433B69" w14:textId="3A90684F" w:rsidR="003D0245" w:rsidRPr="00355368" w:rsidRDefault="003D0245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The remuneration </w:t>
      </w:r>
      <w:r w:rsidR="00627B1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principles </w:t>
      </w:r>
      <w:proofErr w:type="gramStart"/>
      <w:r w:rsidR="00627B1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are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primarily based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on the long-term goals of the TKMG, taking into account the financial results of the company and the legitimate interests of investors and creditors. The purpose of the remuneration </w:t>
      </w:r>
      <w:r w:rsidR="00736A8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principles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is to </w:t>
      </w:r>
      <w:r w:rsidR="00736A8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arrange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transparent, fair, and motivating remuneration.</w:t>
      </w:r>
    </w:p>
    <w:p w14:paraId="6D957EB8" w14:textId="761720AF" w:rsidR="00C96599" w:rsidRDefault="00E5111C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The </w:t>
      </w:r>
      <w:r w:rsidR="00721DE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Supervisory Board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of TKMG has the right to decide on the approval of the principles of remuneration of the </w:t>
      </w:r>
      <w:r w:rsidR="00721DE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and the amount of remuneration. The </w:t>
      </w:r>
      <w:r w:rsidR="00721DE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Supervisory Board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also supervises compliance with the principles.</w:t>
      </w:r>
    </w:p>
    <w:p w14:paraId="3E266C8F" w14:textId="21C3E468" w:rsidR="00341E45" w:rsidRPr="00355368" w:rsidRDefault="00DA7505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The general meeting of TKMG votes on the remuneration principles at least once every four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years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. Significant </w:t>
      </w:r>
      <w:r w:rsidR="0050720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amendments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in the remuneration </w:t>
      </w:r>
      <w:r w:rsidR="0050720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principles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must be submitted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to the general meeting for voting each time. The decision of the general meeting to approve the remuneration principles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is recommended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to the </w:t>
      </w:r>
      <w:r w:rsidR="00721DE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Supervisory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Board. The principles of remuneration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will be deemed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approved if more than half of the votes represented at the general meeting are in favour of them.</w:t>
      </w:r>
    </w:p>
    <w:p w14:paraId="5CA40BB1" w14:textId="25E597D4" w:rsidR="00341E45" w:rsidRPr="00525D65" w:rsidRDefault="00341E45" w:rsidP="00341E4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567" w:hanging="425"/>
        <w:jc w:val="both"/>
        <w:textAlignment w:val="baseline"/>
        <w:rPr>
          <w:rFonts w:asciiTheme="minorHAnsi" w:hAnsiTheme="minorHAnsi" w:cstheme="minorHAnsi"/>
          <w:b/>
          <w:color w:val="003845"/>
          <w:sz w:val="22"/>
          <w:szCs w:val="22"/>
        </w:rPr>
      </w:pPr>
      <w:r>
        <w:rPr>
          <w:rFonts w:asciiTheme="minorHAnsi" w:hAnsiTheme="minorHAnsi"/>
          <w:b/>
          <w:color w:val="003845"/>
          <w:sz w:val="22"/>
          <w:szCs w:val="22"/>
        </w:rPr>
        <w:t>Remuneration principles</w:t>
      </w:r>
    </w:p>
    <w:p w14:paraId="1B2B5A66" w14:textId="48D9F8B8" w:rsidR="00C96599" w:rsidRDefault="00023CD6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Remuneration is reviewed regularly at least at the beginning of each term of office, during which the compliance of the remuneration with the duties of the member of the </w:t>
      </w:r>
      <w:r w:rsidR="008657C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Board, their contribution to the development of the company, the current economic situation of T</w:t>
      </w:r>
      <w:r w:rsidR="0049106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, and future trends is assessed by comparing the corresponding figures of other companies in the same economic sector.</w:t>
      </w:r>
      <w:proofErr w:type="gramEnd"/>
    </w:p>
    <w:p w14:paraId="1FD568A1" w14:textId="10557F40" w:rsidR="00203115" w:rsidRPr="00525D65" w:rsidRDefault="00BF7089" w:rsidP="00E5111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Remuneration is determined in particular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on the basis of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the following principles:</w:t>
      </w:r>
    </w:p>
    <w:p w14:paraId="6937B0C7" w14:textId="2047FD2E" w:rsidR="00C96599" w:rsidRDefault="00E93927" w:rsidP="00A22C0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T</w:t>
      </w:r>
      <w:r w:rsidR="00203115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he basic remuneration of a member of the </w:t>
      </w:r>
      <w:r w:rsidR="008657C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 w:rsidR="00203115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takes into account the abilities and competencies of the person and motivates them to act in the best interests of the company;</w:t>
      </w:r>
    </w:p>
    <w:p w14:paraId="157643D9" w14:textId="1A186442" w:rsidR="009B48F9" w:rsidRPr="00525D65" w:rsidRDefault="00E93927" w:rsidP="00A22C0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T</w:t>
      </w:r>
      <w:r w:rsidR="009B48F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he basic remuneration of a member of the </w:t>
      </w:r>
      <w:r w:rsidR="008657C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 w:rsidR="009B48F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corresponds to at least the average remuneration paid to the managers of companies belonging to the same economic sector with a similar annual turnover, balance sheet total or number of employees;</w:t>
      </w:r>
    </w:p>
    <w:p w14:paraId="635AE77E" w14:textId="3115BED3" w:rsidR="003663FD" w:rsidRPr="00525D65" w:rsidRDefault="00E93927" w:rsidP="00A22C0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T</w:t>
      </w:r>
      <w:r w:rsidR="003663FD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he basic remuneration paid to a member of the </w:t>
      </w:r>
      <w:r w:rsidR="0049106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 w:rsidR="003663FD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correlates with the average full-time remuneration of the employees of T</w:t>
      </w:r>
      <w:r w:rsidR="0049106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 w:rsidR="003663FD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.</w:t>
      </w:r>
    </w:p>
    <w:p w14:paraId="4BA17393" w14:textId="45019B6D" w:rsidR="00BF7089" w:rsidRPr="00525D65" w:rsidRDefault="00E93927" w:rsidP="00A22C0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P</w:t>
      </w:r>
      <w:r w:rsidR="00BF708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erformance pay takes into account the financial results of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TKMG</w:t>
      </w:r>
      <w:r w:rsidR="00BF708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for the previous year and the fulfilment of pre-determined targets. It is also ensured that the </w:t>
      </w:r>
      <w:r w:rsidR="009A675F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percentage </w:t>
      </w:r>
      <w:r w:rsidR="00BF708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of </w:t>
      </w:r>
      <w:r w:rsidR="00BF708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lastRenderedPageBreak/>
        <w:t>basic remuneration and performance pay is reasonably in line with the duties of the</w:t>
      </w:r>
      <w:r w:rsidR="009A675F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member of the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 w:rsidR="009A675F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</w:t>
      </w:r>
      <w:r w:rsidR="00BF7089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, so that the basic remuneration constitutes a sufficiently large part of the total remuneration to allow for non-determination or non-payment of performance pay;</w:t>
      </w:r>
    </w:p>
    <w:p w14:paraId="2F758F6E" w14:textId="3B4B1FCC" w:rsidR="00BF7089" w:rsidRPr="00525D65" w:rsidRDefault="00BF7089" w:rsidP="00A22C0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The termination-of-contract compensation of a member of the </w:t>
      </w:r>
      <w:r w:rsidR="00E93927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is related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to their previous work results and is not payable if it would harm the interests of T</w:t>
      </w:r>
      <w:r w:rsidR="00E93927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.</w:t>
      </w:r>
    </w:p>
    <w:p w14:paraId="2CB59A60" w14:textId="4A14C4CC" w:rsidR="008E0E9B" w:rsidRPr="00525D65" w:rsidRDefault="008E0E9B" w:rsidP="00A22C0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567" w:hanging="283"/>
        <w:jc w:val="both"/>
        <w:textAlignment w:val="baseline"/>
        <w:rPr>
          <w:rFonts w:asciiTheme="minorHAnsi" w:hAnsiTheme="minorHAnsi" w:cstheme="minorHAnsi"/>
          <w:b/>
          <w:color w:val="003845"/>
          <w:sz w:val="22"/>
          <w:szCs w:val="22"/>
        </w:rPr>
      </w:pPr>
      <w:r>
        <w:rPr>
          <w:rFonts w:asciiTheme="minorHAnsi" w:hAnsiTheme="minorHAnsi"/>
          <w:b/>
          <w:color w:val="003845"/>
          <w:sz w:val="22"/>
          <w:szCs w:val="22"/>
        </w:rPr>
        <w:t>Types of remuneration</w:t>
      </w:r>
    </w:p>
    <w:p w14:paraId="1885A533" w14:textId="4A3B6688" w:rsidR="00C96599" w:rsidRDefault="00E9188F" w:rsidP="00A22C04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In accordance with the articles of association of T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,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may have one to six members. Pursuant to the Commercial Code, the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members of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of T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are elected by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Supervisory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of Directors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. The members of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of T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are selected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on the basis of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gender neutrality and the actual competence of the persons. In accordance with the articles of association, a member of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is elected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for a term of up to three years. The extension of the term of office of a member of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will not be decided earlier than one year before the planned expiry of the term of office and for a longer period than the maximum term of office prescribed by law or the articles of association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.</w:t>
      </w:r>
    </w:p>
    <w:p w14:paraId="569F2D32" w14:textId="250C22D5" w:rsidR="006301CD" w:rsidRPr="00525D65" w:rsidRDefault="006301CD" w:rsidP="00A22C04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The duties of a member of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and the remuneration to be paid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will be agreed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in the employment contract entered into with them. Remuneration paid to a member of the </w:t>
      </w:r>
      <w:r w:rsidR="001C0FC6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may be as follows:</w:t>
      </w:r>
    </w:p>
    <w:p w14:paraId="1091152E" w14:textId="470422DF" w:rsidR="006301CD" w:rsidRPr="00525D65" w:rsidRDefault="006301CD" w:rsidP="006301C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</w:pPr>
      <w:r>
        <w:rPr>
          <w:rFonts w:asciiTheme="minorHAnsi" w:hAnsi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  <w:t>Basic remuneration</w:t>
      </w:r>
    </w:p>
    <w:p w14:paraId="04BA9F61" w14:textId="063ADB6C" w:rsidR="006301CD" w:rsidRPr="00525D65" w:rsidRDefault="00B20720" w:rsidP="006301CD">
      <w:pPr>
        <w:pStyle w:val="NormalWeb"/>
        <w:shd w:val="clear" w:color="auto" w:fill="FFFFFF"/>
        <w:spacing w:before="0" w:beforeAutospacing="0" w:after="225" w:afterAutospacing="0"/>
        <w:ind w:left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The monthly remuneration paid to a member of the </w:t>
      </w:r>
      <w:r w:rsidR="0007692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Board, which corresponds to at least the average remuneration paid to the directors of companies belonging to the same economic sector. The basic remuneration takes into account the competence of the 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person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and is sufficiently motivating to ensure that they act in the best interests of the company.</w:t>
      </w:r>
    </w:p>
    <w:p w14:paraId="00395992" w14:textId="1276DF18" w:rsidR="00B20720" w:rsidRPr="00525D65" w:rsidRDefault="00B20720" w:rsidP="00B207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</w:pPr>
      <w:r>
        <w:rPr>
          <w:rFonts w:asciiTheme="minorHAnsi" w:hAnsi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  <w:t>Performance pay</w:t>
      </w:r>
    </w:p>
    <w:p w14:paraId="75595F00" w14:textId="77C94F73" w:rsidR="00B20720" w:rsidRPr="00525D65" w:rsidRDefault="00B20720" w:rsidP="00B20720">
      <w:pPr>
        <w:pStyle w:val="NormalWeb"/>
        <w:shd w:val="clear" w:color="auto" w:fill="FFFFFF"/>
        <w:spacing w:before="0" w:beforeAutospacing="0" w:after="225" w:afterAutospacing="0"/>
        <w:ind w:left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A member of the </w:t>
      </w:r>
      <w:r w:rsidR="00E17061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may be granted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a performance pay by a resolution of the </w:t>
      </w:r>
      <w:r w:rsidR="00E17061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Supervisory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Board, the amount of which depends on the financial results of T</w:t>
      </w:r>
      <w:r w:rsidR="00E17061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KMG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and the fulfilment of objectives previously agreed with the 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member of the </w:t>
      </w:r>
      <w:proofErr w:type="spellStart"/>
      <w:r w:rsidR="00E17061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Managment</w:t>
      </w:r>
      <w:proofErr w:type="spellEnd"/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.</w:t>
      </w:r>
    </w:p>
    <w:p w14:paraId="00AE62E3" w14:textId="2D685005" w:rsidR="00B20720" w:rsidRPr="00525D65" w:rsidRDefault="00B20720" w:rsidP="00B207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</w:pPr>
      <w:r>
        <w:rPr>
          <w:rFonts w:asciiTheme="minorHAnsi" w:hAnsi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  <w:t>Additional benefits</w:t>
      </w:r>
    </w:p>
    <w:p w14:paraId="15D29CD8" w14:textId="225612EA" w:rsidR="00B20720" w:rsidRPr="00525D65" w:rsidRDefault="00B20720" w:rsidP="00B20720">
      <w:pPr>
        <w:pStyle w:val="NormalWeb"/>
        <w:shd w:val="clear" w:color="auto" w:fill="FFFFFF"/>
        <w:spacing w:before="0" w:beforeAutospacing="0" w:after="225" w:afterAutospacing="0"/>
        <w:ind w:left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Additional benefits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may be agreed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with the 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member of the </w:t>
      </w:r>
      <w:r w:rsidR="007973A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Board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in their employment contract, which may include an additional paid holiday, a company car, telephone compensation, the 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access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to read 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business 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magazines and other publications, membership of associations and unions for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executives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, </w:t>
      </w:r>
      <w:r w:rsidR="002440E8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courses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, etc.</w:t>
      </w:r>
    </w:p>
    <w:p w14:paraId="15EC74B8" w14:textId="4886CC23" w:rsidR="00B20720" w:rsidRDefault="003663FD" w:rsidP="00B207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</w:pPr>
      <w:r>
        <w:rPr>
          <w:rFonts w:asciiTheme="minorHAnsi" w:hAnsi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  <w:t>Stock options</w:t>
      </w:r>
    </w:p>
    <w:p w14:paraId="76523287" w14:textId="67BB3D46" w:rsidR="00AF35F8" w:rsidRDefault="00AF35F8" w:rsidP="00AF35F8">
      <w:pPr>
        <w:pStyle w:val="NormalWeb"/>
        <w:shd w:val="clear" w:color="auto" w:fill="FFFFFF"/>
        <w:spacing w:before="0" w:beforeAutospacing="0" w:after="225" w:afterAutospacing="0"/>
        <w:ind w:left="567"/>
        <w:jc w:val="both"/>
        <w:textAlignment w:val="baseline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</w:t>
      </w:r>
      <w:r w:rsidR="007973A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ment Board membe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rs have the right to a stock option only if the general meeting decides so.</w:t>
      </w:r>
    </w:p>
    <w:p w14:paraId="152A957A" w14:textId="77777777" w:rsidR="00627B1C" w:rsidRPr="00AF35F8" w:rsidRDefault="00627B1C" w:rsidP="00AF35F8">
      <w:pPr>
        <w:pStyle w:val="NormalWeb"/>
        <w:shd w:val="clear" w:color="auto" w:fill="FFFFFF"/>
        <w:spacing w:before="0" w:beforeAutospacing="0" w:after="225" w:afterAutospacing="0"/>
        <w:ind w:left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</w:p>
    <w:p w14:paraId="2DC98A38" w14:textId="103F8093" w:rsidR="003663FD" w:rsidRPr="00525D65" w:rsidRDefault="003663FD" w:rsidP="00B2072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567" w:hanging="567"/>
        <w:jc w:val="both"/>
        <w:textAlignment w:val="baseline"/>
        <w:rPr>
          <w:rFonts w:asciiTheme="minorHAnsi" w:eastAsia="Dotum" w:hAnsiTheme="minorHAnsi" w:cs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</w:pPr>
      <w:r>
        <w:rPr>
          <w:rFonts w:asciiTheme="minorHAnsi" w:hAnsiTheme="minorHAnsi"/>
          <w:b/>
          <w:color w:val="003845"/>
          <w:sz w:val="22"/>
          <w:szCs w:val="22"/>
          <w14:textFill>
            <w14:solidFill>
              <w14:srgbClr w14:val="003845">
                <w14:alpha w14:val="31000"/>
              </w14:srgbClr>
            </w14:solidFill>
          </w14:textFill>
        </w:rPr>
        <w:lastRenderedPageBreak/>
        <w:t>Termination-of-contract compensation</w:t>
      </w:r>
    </w:p>
    <w:p w14:paraId="6906166D" w14:textId="69332EB1" w:rsidR="009F07E1" w:rsidRPr="00355368" w:rsidRDefault="002A50AB" w:rsidP="00355368">
      <w:pPr>
        <w:pStyle w:val="NormalWeb"/>
        <w:shd w:val="clear" w:color="auto" w:fill="FFFFFF"/>
        <w:spacing w:before="0" w:beforeAutospacing="0" w:after="225" w:afterAutospacing="0"/>
        <w:ind w:left="567"/>
        <w:jc w:val="both"/>
        <w:textAlignment w:val="baseline"/>
        <w:rPr>
          <w:rFonts w:asciiTheme="minorHAnsi" w:eastAsia="Dotum" w:hAnsiTheme="minorHAnsi" w:cs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</w:pP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A termination-of-contract compensation equal to a maximum of 6 months’ average remuneration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may be agreed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with the </w:t>
      </w:r>
      <w:r w:rsidR="007973A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member of the Management Board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in their </w:t>
      </w:r>
      <w:r w:rsidR="007973AC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management board member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contract. No termination-of-contract compensation </w:t>
      </w:r>
      <w:proofErr w:type="gramStart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will be paid</w:t>
      </w:r>
      <w:proofErr w:type="gramEnd"/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if the </w:t>
      </w:r>
      <w:r w:rsidR="00D67520"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>member of the Management Board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alpha w14:val="31010"/>
              </w14:srgbClr>
            </w14:solidFill>
          </w14:textFill>
        </w:rPr>
        <w:t xml:space="preserve"> has, during their term of office, harmed the interests of TKMG or its subsidiaries or affiliates, or if the payment of the termination-of-contract compensation would harm the interests of TKMG and its shareholders.</w:t>
      </w:r>
    </w:p>
    <w:sectPr w:rsidR="009F07E1" w:rsidRPr="00355368" w:rsidSect="002D1B87">
      <w:headerReference w:type="default" r:id="rId8"/>
      <w:footerReference w:type="default" r:id="rId9"/>
      <w:pgSz w:w="11906" w:h="16838"/>
      <w:pgMar w:top="1417" w:right="19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53BB" w14:textId="77777777" w:rsidR="00163D72" w:rsidRDefault="00163D72" w:rsidP="00C617DE">
      <w:r>
        <w:separator/>
      </w:r>
    </w:p>
  </w:endnote>
  <w:endnote w:type="continuationSeparator" w:id="0">
    <w:p w14:paraId="7BB361F9" w14:textId="77777777" w:rsidR="00163D72" w:rsidRDefault="00163D72" w:rsidP="00C6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6736190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398AC" w14:textId="77EB1895" w:rsidR="002A50AB" w:rsidRPr="002A50AB" w:rsidRDefault="002A50AB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27B1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27B1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2A50A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1EF6D4" w14:textId="77777777" w:rsidR="00052FD8" w:rsidRPr="002A50AB" w:rsidRDefault="00052FD8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9270" w14:textId="77777777" w:rsidR="00163D72" w:rsidRDefault="00163D72" w:rsidP="00C617DE">
      <w:r>
        <w:separator/>
      </w:r>
    </w:p>
  </w:footnote>
  <w:footnote w:type="continuationSeparator" w:id="0">
    <w:p w14:paraId="2A0FEF33" w14:textId="77777777" w:rsidR="00163D72" w:rsidRDefault="00163D72" w:rsidP="00C6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E606" w14:textId="77777777" w:rsidR="00052FD8" w:rsidRDefault="00052FD8">
    <w:pPr>
      <w:pStyle w:val="Header"/>
    </w:pPr>
    <w:r>
      <w:rPr>
        <w:noProof/>
        <w:lang w:val="et-EE"/>
      </w:rPr>
      <w:drawing>
        <wp:anchor distT="0" distB="0" distL="114300" distR="114300" simplePos="0" relativeHeight="251659264" behindDoc="1" locked="0" layoutInCell="1" allowOverlap="1" wp14:anchorId="305066D0" wp14:editId="44C65A41">
          <wp:simplePos x="0" y="0"/>
          <wp:positionH relativeFrom="page">
            <wp:posOffset>-622963</wp:posOffset>
          </wp:positionH>
          <wp:positionV relativeFrom="page">
            <wp:posOffset>-76310</wp:posOffset>
          </wp:positionV>
          <wp:extent cx="7599872" cy="10765766"/>
          <wp:effectExtent l="171450" t="114300" r="363220" b="360045"/>
          <wp:wrapNone/>
          <wp:docPr id="10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m_aastaaruanne_sisule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7" b="377"/>
                  <a:stretch/>
                </pic:blipFill>
                <pic:spPr bwMode="auto">
                  <a:xfrm>
                    <a:off x="0" y="0"/>
                    <a:ext cx="7599872" cy="1076576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E08"/>
    <w:multiLevelType w:val="multilevel"/>
    <w:tmpl w:val="2BE65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18"/>
        <w:szCs w:val="18"/>
        <w14:textFill>
          <w14:solidFill>
            <w14:srgbClr w14:val="000000">
              <w14:alpha w14:val="31010"/>
            </w14:srgbClr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18"/>
        <w:szCs w:val="18"/>
        <w14:textFill>
          <w14:solidFill>
            <w14:srgbClr w14:val="000000">
              <w14:alpha w14:val="31010"/>
            </w14:srgbClr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526A5"/>
    <w:multiLevelType w:val="hybridMultilevel"/>
    <w:tmpl w:val="95B0F0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472"/>
    <w:multiLevelType w:val="multilevel"/>
    <w:tmpl w:val="E878F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18"/>
        <w:szCs w:val="18"/>
        <w14:textFill>
          <w14:solidFill>
            <w14:srgbClr w14:val="000000">
              <w14:alpha w14:val="31010"/>
            </w14:srgbClr>
          </w14:solidFill>
        </w14:textFill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000000"/>
        <w:sz w:val="18"/>
        <w:szCs w:val="18"/>
        <w14:textFill>
          <w14:solidFill>
            <w14:srgbClr w14:val="000000">
              <w14:alpha w14:val="31010"/>
            </w14:srgbClr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F6509"/>
    <w:multiLevelType w:val="multilevel"/>
    <w:tmpl w:val="FC2CC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2347FCC"/>
    <w:multiLevelType w:val="hybridMultilevel"/>
    <w:tmpl w:val="693A5B3C"/>
    <w:lvl w:ilvl="0" w:tplc="C088C6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623"/>
    <w:multiLevelType w:val="hybridMultilevel"/>
    <w:tmpl w:val="43DA78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077"/>
    <w:multiLevelType w:val="hybridMultilevel"/>
    <w:tmpl w:val="EFB490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7208"/>
    <w:multiLevelType w:val="hybridMultilevel"/>
    <w:tmpl w:val="2AFC8BD0"/>
    <w:lvl w:ilvl="0" w:tplc="4DF4D8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9F"/>
    <w:multiLevelType w:val="hybridMultilevel"/>
    <w:tmpl w:val="CCC2AE5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0334"/>
    <w:multiLevelType w:val="hybridMultilevel"/>
    <w:tmpl w:val="FD44A02A"/>
    <w:lvl w:ilvl="0" w:tplc="042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760F"/>
    <w:multiLevelType w:val="hybridMultilevel"/>
    <w:tmpl w:val="D86C22B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711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779E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A522D"/>
    <w:multiLevelType w:val="hybridMultilevel"/>
    <w:tmpl w:val="821861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7624"/>
    <w:multiLevelType w:val="hybridMultilevel"/>
    <w:tmpl w:val="7A26A0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34D6"/>
    <w:multiLevelType w:val="hybridMultilevel"/>
    <w:tmpl w:val="75D02CCC"/>
    <w:lvl w:ilvl="0" w:tplc="042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44D6"/>
    <w:multiLevelType w:val="hybridMultilevel"/>
    <w:tmpl w:val="FD02CBBE"/>
    <w:lvl w:ilvl="0" w:tplc="B9A68A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845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F2CFF"/>
    <w:multiLevelType w:val="hybridMultilevel"/>
    <w:tmpl w:val="D5AA6FE6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10A3C"/>
    <w:multiLevelType w:val="hybridMultilevel"/>
    <w:tmpl w:val="99CEFFB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E6A78"/>
    <w:multiLevelType w:val="hybridMultilevel"/>
    <w:tmpl w:val="78FCE96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01EF7"/>
    <w:multiLevelType w:val="hybridMultilevel"/>
    <w:tmpl w:val="972264A2"/>
    <w:lvl w:ilvl="0" w:tplc="13DAD72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1037B"/>
    <w:multiLevelType w:val="hybridMultilevel"/>
    <w:tmpl w:val="58B6A23C"/>
    <w:lvl w:ilvl="0" w:tplc="EC74DC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F0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33029"/>
    <w:multiLevelType w:val="hybridMultilevel"/>
    <w:tmpl w:val="C5F6E2C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30C66"/>
    <w:multiLevelType w:val="hybridMultilevel"/>
    <w:tmpl w:val="9216E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264BB"/>
    <w:multiLevelType w:val="hybridMultilevel"/>
    <w:tmpl w:val="26B418F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65F6"/>
    <w:multiLevelType w:val="hybridMultilevel"/>
    <w:tmpl w:val="D9D8B4D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19"/>
  </w:num>
  <w:num w:numId="11">
    <w:abstractNumId w:val="22"/>
  </w:num>
  <w:num w:numId="12">
    <w:abstractNumId w:val="10"/>
  </w:num>
  <w:num w:numId="13">
    <w:abstractNumId w:val="8"/>
  </w:num>
  <w:num w:numId="14">
    <w:abstractNumId w:val="24"/>
  </w:num>
  <w:num w:numId="15">
    <w:abstractNumId w:val="20"/>
  </w:num>
  <w:num w:numId="16">
    <w:abstractNumId w:val="1"/>
  </w:num>
  <w:num w:numId="17">
    <w:abstractNumId w:val="6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0"/>
  </w:num>
  <w:num w:numId="23">
    <w:abstractNumId w:val="5"/>
  </w:num>
  <w:num w:numId="24">
    <w:abstractNumId w:val="25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DE"/>
    <w:rsid w:val="00012F55"/>
    <w:rsid w:val="00015B88"/>
    <w:rsid w:val="00023CD6"/>
    <w:rsid w:val="00030E0E"/>
    <w:rsid w:val="00043629"/>
    <w:rsid w:val="00052FD8"/>
    <w:rsid w:val="00057B69"/>
    <w:rsid w:val="00065C68"/>
    <w:rsid w:val="000741DF"/>
    <w:rsid w:val="00076920"/>
    <w:rsid w:val="00091C53"/>
    <w:rsid w:val="000A3240"/>
    <w:rsid w:val="000A55C4"/>
    <w:rsid w:val="000C295D"/>
    <w:rsid w:val="000D51B9"/>
    <w:rsid w:val="000D6397"/>
    <w:rsid w:val="000F111F"/>
    <w:rsid w:val="000F49BE"/>
    <w:rsid w:val="001022C4"/>
    <w:rsid w:val="001322EA"/>
    <w:rsid w:val="0014082E"/>
    <w:rsid w:val="001516EA"/>
    <w:rsid w:val="00163D72"/>
    <w:rsid w:val="00172704"/>
    <w:rsid w:val="001829F4"/>
    <w:rsid w:val="00190F3D"/>
    <w:rsid w:val="001940C8"/>
    <w:rsid w:val="001A178B"/>
    <w:rsid w:val="001C01D8"/>
    <w:rsid w:val="001C0FC6"/>
    <w:rsid w:val="001D2D32"/>
    <w:rsid w:val="001E3086"/>
    <w:rsid w:val="001F1628"/>
    <w:rsid w:val="00203115"/>
    <w:rsid w:val="002136CE"/>
    <w:rsid w:val="00233A53"/>
    <w:rsid w:val="00240044"/>
    <w:rsid w:val="002440E8"/>
    <w:rsid w:val="0025284B"/>
    <w:rsid w:val="00270B04"/>
    <w:rsid w:val="002A50AB"/>
    <w:rsid w:val="002B5A90"/>
    <w:rsid w:val="002D0B3D"/>
    <w:rsid w:val="002D1B87"/>
    <w:rsid w:val="002F7682"/>
    <w:rsid w:val="002F76AE"/>
    <w:rsid w:val="00307E94"/>
    <w:rsid w:val="00341CBD"/>
    <w:rsid w:val="00341E45"/>
    <w:rsid w:val="00352B5B"/>
    <w:rsid w:val="00352F34"/>
    <w:rsid w:val="00355368"/>
    <w:rsid w:val="003663FD"/>
    <w:rsid w:val="0038644C"/>
    <w:rsid w:val="00393047"/>
    <w:rsid w:val="00394682"/>
    <w:rsid w:val="003A17C2"/>
    <w:rsid w:val="003A3FF1"/>
    <w:rsid w:val="003B19CA"/>
    <w:rsid w:val="003B57D4"/>
    <w:rsid w:val="003C6A85"/>
    <w:rsid w:val="003D0245"/>
    <w:rsid w:val="003E2064"/>
    <w:rsid w:val="0040416D"/>
    <w:rsid w:val="004078D6"/>
    <w:rsid w:val="004324B9"/>
    <w:rsid w:val="00475197"/>
    <w:rsid w:val="0049106C"/>
    <w:rsid w:val="00496E47"/>
    <w:rsid w:val="004C3285"/>
    <w:rsid w:val="004C5C85"/>
    <w:rsid w:val="004C5F0A"/>
    <w:rsid w:val="004C63E6"/>
    <w:rsid w:val="004D0322"/>
    <w:rsid w:val="004D45CA"/>
    <w:rsid w:val="004F20BB"/>
    <w:rsid w:val="004F2B08"/>
    <w:rsid w:val="00507208"/>
    <w:rsid w:val="00525D65"/>
    <w:rsid w:val="00547F8E"/>
    <w:rsid w:val="0057482A"/>
    <w:rsid w:val="005A568F"/>
    <w:rsid w:val="005B76E9"/>
    <w:rsid w:val="005C1F15"/>
    <w:rsid w:val="005C21FF"/>
    <w:rsid w:val="005E51D5"/>
    <w:rsid w:val="00600116"/>
    <w:rsid w:val="00617DC3"/>
    <w:rsid w:val="00626195"/>
    <w:rsid w:val="00627B1C"/>
    <w:rsid w:val="006301CD"/>
    <w:rsid w:val="00673E9E"/>
    <w:rsid w:val="006E0C3E"/>
    <w:rsid w:val="006F4958"/>
    <w:rsid w:val="006F6D88"/>
    <w:rsid w:val="0070218A"/>
    <w:rsid w:val="00704F5B"/>
    <w:rsid w:val="007161DC"/>
    <w:rsid w:val="00721DE0"/>
    <w:rsid w:val="00736A8C"/>
    <w:rsid w:val="00737E90"/>
    <w:rsid w:val="00737F82"/>
    <w:rsid w:val="007538D2"/>
    <w:rsid w:val="00775557"/>
    <w:rsid w:val="00775721"/>
    <w:rsid w:val="0078131A"/>
    <w:rsid w:val="00792314"/>
    <w:rsid w:val="007973AC"/>
    <w:rsid w:val="007B7212"/>
    <w:rsid w:val="007C5F22"/>
    <w:rsid w:val="007D3CE7"/>
    <w:rsid w:val="007D50B8"/>
    <w:rsid w:val="007E31CF"/>
    <w:rsid w:val="007E36EA"/>
    <w:rsid w:val="007F6FB5"/>
    <w:rsid w:val="00803715"/>
    <w:rsid w:val="00811E11"/>
    <w:rsid w:val="0082479A"/>
    <w:rsid w:val="00827A3D"/>
    <w:rsid w:val="00851187"/>
    <w:rsid w:val="008657C0"/>
    <w:rsid w:val="00877FEF"/>
    <w:rsid w:val="00885249"/>
    <w:rsid w:val="00885B36"/>
    <w:rsid w:val="008945B5"/>
    <w:rsid w:val="008B2F66"/>
    <w:rsid w:val="008B649D"/>
    <w:rsid w:val="008D38EA"/>
    <w:rsid w:val="008D6F19"/>
    <w:rsid w:val="008E0E9B"/>
    <w:rsid w:val="00906E89"/>
    <w:rsid w:val="009250A8"/>
    <w:rsid w:val="00925C6B"/>
    <w:rsid w:val="00927C38"/>
    <w:rsid w:val="0093264A"/>
    <w:rsid w:val="00940AE4"/>
    <w:rsid w:val="009655E1"/>
    <w:rsid w:val="009958AA"/>
    <w:rsid w:val="00995EFB"/>
    <w:rsid w:val="009A223D"/>
    <w:rsid w:val="009A675F"/>
    <w:rsid w:val="009A67A0"/>
    <w:rsid w:val="009B06E1"/>
    <w:rsid w:val="009B48F9"/>
    <w:rsid w:val="009B5BB3"/>
    <w:rsid w:val="009D036D"/>
    <w:rsid w:val="009D2A0D"/>
    <w:rsid w:val="009F07E1"/>
    <w:rsid w:val="009F4E02"/>
    <w:rsid w:val="00A065B5"/>
    <w:rsid w:val="00A14554"/>
    <w:rsid w:val="00A22C04"/>
    <w:rsid w:val="00A33B6A"/>
    <w:rsid w:val="00A645F0"/>
    <w:rsid w:val="00AC40B3"/>
    <w:rsid w:val="00AD7B5A"/>
    <w:rsid w:val="00AF1F3C"/>
    <w:rsid w:val="00AF35F8"/>
    <w:rsid w:val="00AF5D6B"/>
    <w:rsid w:val="00B07B4A"/>
    <w:rsid w:val="00B16051"/>
    <w:rsid w:val="00B20720"/>
    <w:rsid w:val="00B26487"/>
    <w:rsid w:val="00B405E7"/>
    <w:rsid w:val="00B45F7A"/>
    <w:rsid w:val="00B739C4"/>
    <w:rsid w:val="00B75674"/>
    <w:rsid w:val="00BB00FD"/>
    <w:rsid w:val="00BB0D34"/>
    <w:rsid w:val="00BB5CFD"/>
    <w:rsid w:val="00BC2EDF"/>
    <w:rsid w:val="00BE062A"/>
    <w:rsid w:val="00BE5A7E"/>
    <w:rsid w:val="00BF505E"/>
    <w:rsid w:val="00BF7089"/>
    <w:rsid w:val="00C04313"/>
    <w:rsid w:val="00C1526C"/>
    <w:rsid w:val="00C3397F"/>
    <w:rsid w:val="00C45515"/>
    <w:rsid w:val="00C467F1"/>
    <w:rsid w:val="00C51C72"/>
    <w:rsid w:val="00C53F5A"/>
    <w:rsid w:val="00C617DE"/>
    <w:rsid w:val="00C64D2E"/>
    <w:rsid w:val="00C64D3C"/>
    <w:rsid w:val="00C96599"/>
    <w:rsid w:val="00CB277F"/>
    <w:rsid w:val="00CB328F"/>
    <w:rsid w:val="00CB6053"/>
    <w:rsid w:val="00CC14A4"/>
    <w:rsid w:val="00CC4519"/>
    <w:rsid w:val="00CC5F7D"/>
    <w:rsid w:val="00CD3629"/>
    <w:rsid w:val="00CE2364"/>
    <w:rsid w:val="00CE3356"/>
    <w:rsid w:val="00CF2878"/>
    <w:rsid w:val="00D00013"/>
    <w:rsid w:val="00D07EA9"/>
    <w:rsid w:val="00D312AD"/>
    <w:rsid w:val="00D329DE"/>
    <w:rsid w:val="00D52481"/>
    <w:rsid w:val="00D65386"/>
    <w:rsid w:val="00D67520"/>
    <w:rsid w:val="00D72A54"/>
    <w:rsid w:val="00D735E4"/>
    <w:rsid w:val="00D96C53"/>
    <w:rsid w:val="00D97B09"/>
    <w:rsid w:val="00DA4335"/>
    <w:rsid w:val="00DA7505"/>
    <w:rsid w:val="00E05CE3"/>
    <w:rsid w:val="00E17061"/>
    <w:rsid w:val="00E17F9E"/>
    <w:rsid w:val="00E22D59"/>
    <w:rsid w:val="00E33558"/>
    <w:rsid w:val="00E42497"/>
    <w:rsid w:val="00E5111C"/>
    <w:rsid w:val="00E6115C"/>
    <w:rsid w:val="00E652CA"/>
    <w:rsid w:val="00E652D7"/>
    <w:rsid w:val="00E9188F"/>
    <w:rsid w:val="00E92632"/>
    <w:rsid w:val="00E92E1E"/>
    <w:rsid w:val="00E93927"/>
    <w:rsid w:val="00EF51C4"/>
    <w:rsid w:val="00F0331C"/>
    <w:rsid w:val="00F1156D"/>
    <w:rsid w:val="00F44935"/>
    <w:rsid w:val="00F53FAB"/>
    <w:rsid w:val="00FB0EC7"/>
    <w:rsid w:val="00FC16B7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8F58F9"/>
  <w15:docId w15:val="{A41DE31F-2406-4624-96DF-31FA119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7DE"/>
    <w:pPr>
      <w:keepNext/>
      <w:ind w:right="-567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DE"/>
  </w:style>
  <w:style w:type="paragraph" w:styleId="Footer">
    <w:name w:val="footer"/>
    <w:basedOn w:val="Normal"/>
    <w:link w:val="FooterChar"/>
    <w:uiPriority w:val="99"/>
    <w:unhideWhenUsed/>
    <w:rsid w:val="00C617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DE"/>
  </w:style>
  <w:style w:type="character" w:customStyle="1" w:styleId="Heading1Char">
    <w:name w:val="Heading 1 Char"/>
    <w:basedOn w:val="DefaultParagraphFont"/>
    <w:link w:val="Heading1"/>
    <w:uiPriority w:val="99"/>
    <w:rsid w:val="00C617DE"/>
    <w:rPr>
      <w:rFonts w:ascii="Times New Roman" w:eastAsia="Times New Roman" w:hAnsi="Times New Roman" w:cs="Times New Roman"/>
      <w:b/>
      <w:sz w:val="28"/>
      <w:szCs w:val="20"/>
      <w:lang w:val="en-GB" w:eastAsia="et-EE"/>
    </w:rPr>
  </w:style>
  <w:style w:type="character" w:styleId="Hyperlink">
    <w:name w:val="Hyperlink"/>
    <w:basedOn w:val="DefaultParagraphFont"/>
    <w:uiPriority w:val="99"/>
    <w:rsid w:val="00C617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7DE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AD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B5A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B5A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5A"/>
    <w:rPr>
      <w:rFonts w:ascii="Segoe UI" w:eastAsia="Times New Roman" w:hAnsi="Segoe UI" w:cs="Segoe UI"/>
      <w:sz w:val="18"/>
      <w:szCs w:val="18"/>
      <w:lang w:eastAsia="et-EE"/>
    </w:rPr>
  </w:style>
  <w:style w:type="character" w:customStyle="1" w:styleId="tyhik">
    <w:name w:val="tyhik"/>
    <w:basedOn w:val="DefaultParagraphFont"/>
    <w:rsid w:val="0025284B"/>
  </w:style>
  <w:style w:type="paragraph" w:customStyle="1" w:styleId="Default">
    <w:name w:val="Default"/>
    <w:rsid w:val="00CC5F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5F7D"/>
    <w:rPr>
      <w:b/>
      <w:bCs/>
    </w:rPr>
  </w:style>
  <w:style w:type="paragraph" w:styleId="NoSpacing">
    <w:name w:val="No Spacing"/>
    <w:uiPriority w:val="1"/>
    <w:qFormat/>
    <w:rsid w:val="006261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0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013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D000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188F"/>
    <w:pPr>
      <w:widowControl/>
      <w:suppressAutoHyphens w:val="0"/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9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8BAF-347C-469D-8D91-2C542637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839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 Miller</dc:creator>
  <cp:lastModifiedBy>Helen Tulve</cp:lastModifiedBy>
  <cp:revision>11</cp:revision>
  <dcterms:created xsi:type="dcterms:W3CDTF">2022-02-17T12:22:00Z</dcterms:created>
  <dcterms:modified xsi:type="dcterms:W3CDTF">2022-02-17T14:47:00Z</dcterms:modified>
</cp:coreProperties>
</file>