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73211" w14:textId="77777777" w:rsidR="002A1890" w:rsidRPr="003265A4" w:rsidRDefault="002A1890" w:rsidP="002A1890">
      <w:pPr>
        <w:jc w:val="center"/>
        <w:rPr>
          <w:rFonts w:ascii="Segoe UI" w:eastAsia="Times New Roman" w:hAnsi="Segoe UI" w:cs="Segoe UI"/>
          <w:b/>
          <w:bCs/>
          <w:lang w:val="en-GB" w:eastAsia="et-EE"/>
        </w:rPr>
      </w:pPr>
    </w:p>
    <w:p w14:paraId="13988DB2" w14:textId="77777777" w:rsidR="002A1890" w:rsidRPr="003265A4" w:rsidRDefault="002A1890" w:rsidP="002A1890">
      <w:pPr>
        <w:jc w:val="center"/>
        <w:rPr>
          <w:rFonts w:ascii="Segoe UI" w:eastAsia="Times New Roman" w:hAnsi="Segoe UI" w:cs="Segoe UI"/>
          <w:b/>
          <w:bCs/>
          <w:lang w:val="en-GB" w:eastAsia="et-EE"/>
        </w:rPr>
      </w:pPr>
    </w:p>
    <w:p w14:paraId="5E809F22" w14:textId="533859B6" w:rsidR="002A1890" w:rsidRPr="008F5B53" w:rsidRDefault="002A1890" w:rsidP="002A1890">
      <w:pPr>
        <w:jc w:val="center"/>
        <w:rPr>
          <w:rFonts w:ascii="Segoe UI" w:eastAsia="Times New Roman" w:hAnsi="Segoe UI" w:cs="Segoe UI"/>
          <w:b/>
          <w:bCs/>
          <w:lang w:val="en-GB" w:eastAsia="et-EE"/>
        </w:rPr>
      </w:pPr>
      <w:r w:rsidRPr="008F5B53">
        <w:rPr>
          <w:rFonts w:ascii="Segoe UI" w:eastAsia="Times New Roman" w:hAnsi="Segoe UI" w:cs="Segoe UI"/>
          <w:b/>
          <w:bCs/>
          <w:lang w:val="en-GB" w:eastAsia="et-EE"/>
        </w:rPr>
        <w:t xml:space="preserve">Draft resolutions of the annual general meeting of Tallinna Kaubamaja </w:t>
      </w:r>
      <w:r w:rsidR="006D3FD6" w:rsidRPr="008F5B53">
        <w:rPr>
          <w:rFonts w:ascii="Segoe UI" w:eastAsia="Times New Roman" w:hAnsi="Segoe UI" w:cs="Segoe UI"/>
          <w:b/>
          <w:bCs/>
          <w:lang w:val="en-GB" w:eastAsia="et-EE"/>
        </w:rPr>
        <w:t xml:space="preserve">Grupp </w:t>
      </w:r>
      <w:r w:rsidR="00872A5D" w:rsidRPr="008F5B53">
        <w:rPr>
          <w:rFonts w:ascii="Segoe UI" w:eastAsia="Times New Roman" w:hAnsi="Segoe UI" w:cs="Segoe UI"/>
          <w:b/>
          <w:bCs/>
          <w:lang w:val="en-GB" w:eastAsia="et-EE"/>
        </w:rPr>
        <w:t>AS</w:t>
      </w:r>
      <w:r w:rsidRPr="008F5B53">
        <w:rPr>
          <w:rFonts w:ascii="Segoe UI" w:eastAsia="Times New Roman" w:hAnsi="Segoe UI" w:cs="Segoe UI"/>
          <w:b/>
          <w:bCs/>
          <w:lang w:val="en-GB" w:eastAsia="et-EE"/>
        </w:rPr>
        <w:t xml:space="preserve"> which will be held on </w:t>
      </w:r>
      <w:r w:rsidR="00CC2F78">
        <w:rPr>
          <w:rFonts w:ascii="Segoe UI" w:eastAsia="Times New Roman" w:hAnsi="Segoe UI" w:cs="Segoe UI"/>
          <w:b/>
          <w:bCs/>
          <w:lang w:val="en-GB" w:eastAsia="et-EE"/>
        </w:rPr>
        <w:t>17</w:t>
      </w:r>
      <w:r w:rsidR="00CC2F78" w:rsidRPr="00CC2F78">
        <w:rPr>
          <w:rFonts w:ascii="Segoe UI" w:eastAsia="Times New Roman" w:hAnsi="Segoe UI" w:cs="Segoe UI"/>
          <w:b/>
          <w:bCs/>
          <w:vertAlign w:val="superscript"/>
          <w:lang w:val="en-GB" w:eastAsia="et-EE"/>
        </w:rPr>
        <w:t>th</w:t>
      </w:r>
      <w:r w:rsidR="00CC2F78">
        <w:rPr>
          <w:rFonts w:ascii="Segoe UI" w:eastAsia="Times New Roman" w:hAnsi="Segoe UI" w:cs="Segoe UI"/>
          <w:b/>
          <w:bCs/>
          <w:lang w:val="en-GB" w:eastAsia="et-EE"/>
        </w:rPr>
        <w:t xml:space="preserve"> of</w:t>
      </w:r>
      <w:r w:rsidR="00CA4F33" w:rsidRPr="008F5B53">
        <w:rPr>
          <w:rFonts w:ascii="Segoe UI" w:eastAsia="Times New Roman" w:hAnsi="Segoe UI" w:cs="Segoe UI"/>
          <w:b/>
          <w:bCs/>
          <w:lang w:val="en-GB" w:eastAsia="et-EE"/>
        </w:rPr>
        <w:t xml:space="preserve"> </w:t>
      </w:r>
      <w:r w:rsidR="003265A4" w:rsidRPr="008F5B53">
        <w:rPr>
          <w:rFonts w:ascii="Segoe UI" w:eastAsia="Times New Roman" w:hAnsi="Segoe UI" w:cs="Segoe UI"/>
          <w:b/>
          <w:bCs/>
          <w:lang w:val="en-GB" w:eastAsia="et-EE"/>
        </w:rPr>
        <w:t>March</w:t>
      </w:r>
      <w:r w:rsidRPr="008F5B53">
        <w:rPr>
          <w:rFonts w:ascii="Segoe UI" w:eastAsia="Times New Roman" w:hAnsi="Segoe UI" w:cs="Segoe UI"/>
          <w:b/>
          <w:bCs/>
          <w:lang w:val="en-GB" w:eastAsia="et-EE"/>
        </w:rPr>
        <w:t xml:space="preserve"> </w:t>
      </w:r>
      <w:r w:rsidR="00CC2F78">
        <w:rPr>
          <w:rFonts w:ascii="Segoe UI" w:eastAsia="Times New Roman" w:hAnsi="Segoe UI" w:cs="Segoe UI"/>
          <w:b/>
          <w:bCs/>
          <w:lang w:val="en-GB" w:eastAsia="et-EE"/>
        </w:rPr>
        <w:t>2023</w:t>
      </w:r>
    </w:p>
    <w:p w14:paraId="0765C168" w14:textId="77777777" w:rsidR="002A1890" w:rsidRPr="008F5B53" w:rsidRDefault="002A1890" w:rsidP="002A1890">
      <w:pPr>
        <w:jc w:val="both"/>
        <w:rPr>
          <w:rFonts w:ascii="Segoe UI" w:eastAsia="Times New Roman" w:hAnsi="Segoe UI" w:cs="Segoe UI"/>
          <w:b/>
          <w:bCs/>
          <w:lang w:val="en-GB" w:eastAsia="et-EE"/>
        </w:rPr>
      </w:pPr>
    </w:p>
    <w:p w14:paraId="65B97564" w14:textId="77777777" w:rsidR="002A1890" w:rsidRPr="008F5B53" w:rsidRDefault="002A1890" w:rsidP="002A1890">
      <w:pPr>
        <w:jc w:val="both"/>
        <w:rPr>
          <w:rFonts w:ascii="Segoe UI" w:eastAsia="Times New Roman" w:hAnsi="Segoe UI" w:cs="Segoe UI"/>
          <w:b/>
          <w:bCs/>
          <w:lang w:val="en-GB" w:eastAsia="et-EE"/>
        </w:rPr>
      </w:pPr>
    </w:p>
    <w:p w14:paraId="16D96987" w14:textId="77777777" w:rsidR="002A1890" w:rsidRPr="008F5B53" w:rsidRDefault="002A1890" w:rsidP="002A1890">
      <w:pPr>
        <w:jc w:val="both"/>
        <w:rPr>
          <w:rFonts w:ascii="Segoe UI" w:eastAsia="Times New Roman" w:hAnsi="Segoe UI" w:cs="Segoe UI"/>
          <w:b/>
          <w:bCs/>
          <w:lang w:val="en-GB" w:eastAsia="et-EE"/>
        </w:rPr>
      </w:pPr>
    </w:p>
    <w:p w14:paraId="2DB21E9C" w14:textId="77777777" w:rsidR="002A1890" w:rsidRPr="008F5B53" w:rsidRDefault="002A1890" w:rsidP="002A1890">
      <w:pPr>
        <w:jc w:val="both"/>
        <w:rPr>
          <w:rFonts w:ascii="Segoe UI" w:eastAsia="Times New Roman" w:hAnsi="Segoe UI" w:cs="Segoe UI"/>
          <w:b/>
          <w:bCs/>
          <w:lang w:val="en-GB" w:eastAsia="et-EE"/>
        </w:rPr>
      </w:pPr>
    </w:p>
    <w:p w14:paraId="254D13DA" w14:textId="4776B3F9" w:rsidR="002A1890" w:rsidRPr="008F5B53" w:rsidRDefault="002A1890" w:rsidP="002A1890">
      <w:pPr>
        <w:numPr>
          <w:ilvl w:val="0"/>
          <w:numId w:val="1"/>
        </w:numPr>
        <w:contextualSpacing/>
        <w:jc w:val="both"/>
        <w:rPr>
          <w:rFonts w:ascii="Segoe UI" w:eastAsia="Times New Roman" w:hAnsi="Segoe UI" w:cs="Segoe UI"/>
          <w:b/>
          <w:bCs/>
          <w:lang w:val="en-GB" w:eastAsia="et-EE"/>
        </w:rPr>
      </w:pPr>
      <w:r w:rsidRPr="008F5B53">
        <w:rPr>
          <w:rFonts w:ascii="Segoe UI" w:eastAsia="Times New Roman" w:hAnsi="Segoe UI" w:cs="Segoe UI"/>
          <w:b/>
          <w:bCs/>
          <w:lang w:val="en-GB" w:eastAsia="et-EE"/>
        </w:rPr>
        <w:t>Approval of the annual report of</w:t>
      </w:r>
      <w:r w:rsidR="00D35A85" w:rsidRPr="008F5B53">
        <w:rPr>
          <w:rFonts w:ascii="Segoe UI" w:eastAsia="Times New Roman" w:hAnsi="Segoe UI" w:cs="Segoe UI"/>
          <w:b/>
          <w:bCs/>
          <w:lang w:val="en-GB" w:eastAsia="et-EE"/>
        </w:rPr>
        <w:t xml:space="preserve"> </w:t>
      </w:r>
      <w:r w:rsidR="00CA4F33" w:rsidRPr="008F5B53">
        <w:rPr>
          <w:rFonts w:ascii="Segoe UI" w:eastAsia="Times New Roman" w:hAnsi="Segoe UI" w:cs="Segoe UI"/>
          <w:b/>
          <w:bCs/>
          <w:lang w:val="en-GB" w:eastAsia="et-EE"/>
        </w:rPr>
        <w:t>202</w:t>
      </w:r>
      <w:r w:rsidR="00CC2F78">
        <w:rPr>
          <w:rFonts w:ascii="Segoe UI" w:eastAsia="Times New Roman" w:hAnsi="Segoe UI" w:cs="Segoe UI"/>
          <w:b/>
          <w:bCs/>
          <w:lang w:val="en-GB" w:eastAsia="et-EE"/>
        </w:rPr>
        <w:t>2</w:t>
      </w:r>
      <w:r w:rsidR="00CA4F33" w:rsidRPr="008F5B53">
        <w:rPr>
          <w:rFonts w:ascii="Segoe UI" w:eastAsia="Times New Roman" w:hAnsi="Segoe UI" w:cs="Segoe UI"/>
          <w:b/>
          <w:bCs/>
          <w:lang w:val="en-GB" w:eastAsia="et-EE"/>
        </w:rPr>
        <w:t xml:space="preserve"> </w:t>
      </w:r>
      <w:r w:rsidR="00D35A85" w:rsidRPr="008F5B53">
        <w:rPr>
          <w:rFonts w:ascii="Segoe UI" w:eastAsia="Times New Roman" w:hAnsi="Segoe UI" w:cs="Segoe UI"/>
          <w:b/>
          <w:bCs/>
          <w:lang w:val="en-GB" w:eastAsia="et-EE"/>
        </w:rPr>
        <w:t xml:space="preserve">of Tallinna Kaubamaja </w:t>
      </w:r>
      <w:r w:rsidR="006D3FD6" w:rsidRPr="008F5B53">
        <w:rPr>
          <w:rFonts w:ascii="Segoe UI" w:eastAsia="Times New Roman" w:hAnsi="Segoe UI" w:cs="Segoe UI"/>
          <w:b/>
          <w:bCs/>
          <w:lang w:val="en-GB" w:eastAsia="et-EE"/>
        </w:rPr>
        <w:t xml:space="preserve">Grupp </w:t>
      </w:r>
      <w:r w:rsidR="00D35A85" w:rsidRPr="008F5B53">
        <w:rPr>
          <w:rFonts w:ascii="Segoe UI" w:eastAsia="Times New Roman" w:hAnsi="Segoe UI" w:cs="Segoe UI"/>
          <w:b/>
          <w:bCs/>
          <w:lang w:val="en-GB" w:eastAsia="et-EE"/>
        </w:rPr>
        <w:t>AS</w:t>
      </w:r>
    </w:p>
    <w:p w14:paraId="18FF491F" w14:textId="77777777" w:rsidR="002A1890" w:rsidRPr="008F5B53" w:rsidRDefault="002A1890" w:rsidP="002A1890">
      <w:pPr>
        <w:jc w:val="both"/>
        <w:rPr>
          <w:rFonts w:ascii="Segoe UI" w:eastAsia="Times New Roman" w:hAnsi="Segoe UI" w:cs="Segoe UI"/>
          <w:b/>
          <w:bCs/>
          <w:lang w:val="en-GB" w:eastAsia="et-EE"/>
        </w:rPr>
      </w:pPr>
    </w:p>
    <w:p w14:paraId="395A964A" w14:textId="3A4C7D07" w:rsidR="0028371F" w:rsidRPr="0028371F" w:rsidRDefault="00CC2F78" w:rsidP="002A1890">
      <w:pPr>
        <w:jc w:val="both"/>
        <w:rPr>
          <w:rFonts w:ascii="Segoe UI" w:eastAsia="Times New Roman" w:hAnsi="Segoe UI" w:cs="Segoe UI"/>
          <w:lang w:val="en-GB" w:eastAsia="et-EE"/>
        </w:rPr>
      </w:pPr>
      <w:r w:rsidRPr="00CC2F78">
        <w:rPr>
          <w:rFonts w:ascii="Segoe UI" w:eastAsia="Times New Roman" w:hAnsi="Segoe UI" w:cs="Segoe UI"/>
          <w:lang w:val="en-GB" w:eastAsia="et-EE"/>
        </w:rPr>
        <w:t xml:space="preserve">To approve the annual report for 2022 prepared by the Management Board of Tallinna Kaubamaja Grupp AS and approved by the Supervisory Board, in accordance with which the consolidated balance sheet of Tallinna Kaubamaja Grupp AS </w:t>
      </w:r>
      <w:proofErr w:type="spellStart"/>
      <w:r w:rsidRPr="00CC2F78">
        <w:rPr>
          <w:rFonts w:ascii="Segoe UI" w:eastAsia="Times New Roman" w:hAnsi="Segoe UI" w:cs="Segoe UI"/>
          <w:lang w:val="en-GB" w:eastAsia="et-EE"/>
        </w:rPr>
        <w:t>as</w:t>
      </w:r>
      <w:proofErr w:type="spellEnd"/>
      <w:r w:rsidRPr="00CC2F78">
        <w:rPr>
          <w:rFonts w:ascii="Segoe UI" w:eastAsia="Times New Roman" w:hAnsi="Segoe UI" w:cs="Segoe UI"/>
          <w:lang w:val="en-GB" w:eastAsia="et-EE"/>
        </w:rPr>
        <w:t xml:space="preserve"> at 31 December 2022 is 646,797 thousand euros, sales revenue 862,763 thousand euros, and net profit 29,485 thousand euros.</w:t>
      </w:r>
    </w:p>
    <w:p w14:paraId="14AD43E5" w14:textId="68C71AC3" w:rsidR="002A1890" w:rsidRPr="008F5B53" w:rsidRDefault="002A1890" w:rsidP="002A1890">
      <w:pPr>
        <w:jc w:val="both"/>
        <w:rPr>
          <w:rFonts w:ascii="Segoe UI" w:eastAsia="Times New Roman" w:hAnsi="Segoe UI" w:cs="Segoe UI"/>
          <w:lang w:val="en-GB" w:eastAsia="et-EE"/>
        </w:rPr>
      </w:pPr>
    </w:p>
    <w:p w14:paraId="56126149" w14:textId="77777777" w:rsidR="002A1890" w:rsidRPr="008F5B53" w:rsidRDefault="002A1890" w:rsidP="002A1890">
      <w:pPr>
        <w:numPr>
          <w:ilvl w:val="0"/>
          <w:numId w:val="1"/>
        </w:numPr>
        <w:contextualSpacing/>
        <w:jc w:val="both"/>
        <w:rPr>
          <w:rFonts w:ascii="Segoe UI" w:eastAsia="Times New Roman" w:hAnsi="Segoe UI" w:cs="Segoe UI"/>
          <w:b/>
          <w:bCs/>
          <w:lang w:val="en-GB" w:eastAsia="et-EE"/>
        </w:rPr>
      </w:pPr>
      <w:r w:rsidRPr="008F5B53">
        <w:rPr>
          <w:rFonts w:ascii="Segoe UI" w:eastAsia="Times New Roman" w:hAnsi="Segoe UI" w:cs="Segoe UI"/>
          <w:b/>
          <w:bCs/>
          <w:lang w:val="en-GB" w:eastAsia="et-EE"/>
        </w:rPr>
        <w:t>Distribution of profit</w:t>
      </w:r>
    </w:p>
    <w:p w14:paraId="1A2B1719" w14:textId="77777777" w:rsidR="002A1890" w:rsidRPr="008F5B53" w:rsidRDefault="002A1890" w:rsidP="002A1890">
      <w:pPr>
        <w:jc w:val="both"/>
        <w:rPr>
          <w:rFonts w:ascii="Segoe UI" w:eastAsia="Times New Roman" w:hAnsi="Segoe UI" w:cs="Segoe UI"/>
          <w:lang w:val="en-GB" w:eastAsia="et-EE"/>
        </w:rPr>
      </w:pPr>
    </w:p>
    <w:p w14:paraId="4BE65CF5" w14:textId="77777777" w:rsidR="00CC2F78" w:rsidRPr="00CC2F78" w:rsidRDefault="00CC2F78" w:rsidP="00CC2F78">
      <w:pPr>
        <w:jc w:val="both"/>
        <w:rPr>
          <w:rFonts w:ascii="Segoe UI" w:eastAsia="Times New Roman" w:hAnsi="Segoe UI" w:cs="Segoe UI"/>
          <w:lang w:val="en-GB" w:eastAsia="et-EE"/>
        </w:rPr>
      </w:pPr>
      <w:r w:rsidRPr="00CC2F78">
        <w:rPr>
          <w:rFonts w:ascii="Segoe UI" w:eastAsia="Times New Roman" w:hAnsi="Segoe UI" w:cs="Segoe UI"/>
          <w:lang w:val="en-GB" w:eastAsia="et-EE"/>
        </w:rPr>
        <w:t>To approve the proposal for the distribution of the profit of Tallinna Kaubamaja Grupp AS for 2022 submitted by the Management Board and approved by the Supervisory Board as follows:</w:t>
      </w:r>
    </w:p>
    <w:p w14:paraId="1B43E21F" w14:textId="244FAC35" w:rsidR="00CC2F78" w:rsidRDefault="00CC2F78" w:rsidP="00CC2F78">
      <w:pPr>
        <w:jc w:val="both"/>
        <w:rPr>
          <w:rFonts w:ascii="Segoe UI" w:eastAsia="Times New Roman" w:hAnsi="Segoe UI" w:cs="Segoe UI"/>
          <w:lang w:val="en-GB" w:eastAsia="et-EE"/>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02"/>
      </w:tblGrid>
      <w:tr w:rsidR="00F72EF8" w14:paraId="265429C5" w14:textId="77777777" w:rsidTr="00F72EF8">
        <w:trPr>
          <w:trHeight w:val="340"/>
        </w:trPr>
        <w:tc>
          <w:tcPr>
            <w:tcW w:w="5524" w:type="dxa"/>
          </w:tcPr>
          <w:p w14:paraId="78FFB6BC" w14:textId="6D015E94" w:rsidR="00F72EF8" w:rsidRDefault="00F72EF8" w:rsidP="00CC2F78">
            <w:pPr>
              <w:jc w:val="both"/>
              <w:rPr>
                <w:rFonts w:ascii="Segoe UI" w:eastAsia="Times New Roman" w:hAnsi="Segoe UI" w:cs="Segoe UI"/>
                <w:lang w:val="en-GB"/>
              </w:rPr>
            </w:pPr>
            <w:r w:rsidRPr="00CC2F78">
              <w:rPr>
                <w:rFonts w:ascii="Segoe UI" w:eastAsia="Times New Roman" w:hAnsi="Segoe UI" w:cs="Segoe UI"/>
                <w:lang w:val="en-GB"/>
              </w:rPr>
              <w:t>Retained earnings from previous years</w:t>
            </w:r>
          </w:p>
        </w:tc>
        <w:tc>
          <w:tcPr>
            <w:tcW w:w="3402" w:type="dxa"/>
          </w:tcPr>
          <w:p w14:paraId="051233A6" w14:textId="129CE096" w:rsidR="00F72EF8" w:rsidRDefault="00F72EF8" w:rsidP="00F72EF8">
            <w:pPr>
              <w:jc w:val="right"/>
              <w:rPr>
                <w:rFonts w:ascii="Segoe UI" w:eastAsia="Times New Roman" w:hAnsi="Segoe UI" w:cs="Segoe UI"/>
                <w:lang w:val="en-GB"/>
              </w:rPr>
            </w:pPr>
            <w:r w:rsidRPr="00CC2F78">
              <w:rPr>
                <w:rFonts w:ascii="Segoe UI" w:eastAsia="Times New Roman" w:hAnsi="Segoe UI" w:cs="Segoe UI"/>
                <w:lang w:val="en-GB"/>
              </w:rPr>
              <w:t>86,298 thousand euros</w:t>
            </w:r>
          </w:p>
        </w:tc>
      </w:tr>
      <w:tr w:rsidR="00F72EF8" w14:paraId="5134AA0F" w14:textId="77777777" w:rsidTr="00F72EF8">
        <w:trPr>
          <w:trHeight w:val="340"/>
        </w:trPr>
        <w:tc>
          <w:tcPr>
            <w:tcW w:w="5524" w:type="dxa"/>
          </w:tcPr>
          <w:p w14:paraId="05D32277" w14:textId="7DD7419D" w:rsidR="00F72EF8" w:rsidRDefault="00F72EF8" w:rsidP="00CC2F78">
            <w:pPr>
              <w:jc w:val="both"/>
              <w:rPr>
                <w:rFonts w:ascii="Segoe UI" w:eastAsia="Times New Roman" w:hAnsi="Segoe UI" w:cs="Segoe UI"/>
                <w:lang w:val="en-GB"/>
              </w:rPr>
            </w:pPr>
            <w:r w:rsidRPr="00CC2F78">
              <w:rPr>
                <w:rFonts w:ascii="Segoe UI" w:eastAsia="Times New Roman" w:hAnsi="Segoe UI" w:cs="Segoe UI"/>
                <w:lang w:val="en-GB"/>
              </w:rPr>
              <w:t>Net profit for 2022</w:t>
            </w:r>
          </w:p>
        </w:tc>
        <w:tc>
          <w:tcPr>
            <w:tcW w:w="3402" w:type="dxa"/>
          </w:tcPr>
          <w:p w14:paraId="0FDDF60A" w14:textId="10B3CA03" w:rsidR="00F72EF8" w:rsidRDefault="00F72EF8" w:rsidP="00F72EF8">
            <w:pPr>
              <w:jc w:val="right"/>
              <w:rPr>
                <w:rFonts w:ascii="Segoe UI" w:eastAsia="Times New Roman" w:hAnsi="Segoe UI" w:cs="Segoe UI"/>
                <w:lang w:val="en-GB"/>
              </w:rPr>
            </w:pPr>
            <w:r w:rsidRPr="00CC2F78">
              <w:rPr>
                <w:rFonts w:ascii="Segoe UI" w:eastAsia="Times New Roman" w:hAnsi="Segoe UI" w:cs="Segoe UI"/>
                <w:lang w:val="en-GB"/>
              </w:rPr>
              <w:t>29,485 thousand euros</w:t>
            </w:r>
          </w:p>
        </w:tc>
      </w:tr>
      <w:tr w:rsidR="00F72EF8" w14:paraId="31EA44D2" w14:textId="77777777" w:rsidTr="00F72EF8">
        <w:trPr>
          <w:trHeight w:val="340"/>
        </w:trPr>
        <w:tc>
          <w:tcPr>
            <w:tcW w:w="5524" w:type="dxa"/>
          </w:tcPr>
          <w:p w14:paraId="6C6CE5C7" w14:textId="4EA6E061" w:rsidR="00F72EF8" w:rsidRDefault="00F72EF8" w:rsidP="00CC2F78">
            <w:pPr>
              <w:jc w:val="both"/>
              <w:rPr>
                <w:rFonts w:ascii="Segoe UI" w:eastAsia="Times New Roman" w:hAnsi="Segoe UI" w:cs="Segoe UI"/>
                <w:lang w:val="en-GB"/>
              </w:rPr>
            </w:pPr>
            <w:r w:rsidRPr="00CC2F78">
              <w:rPr>
                <w:rFonts w:ascii="Segoe UI" w:eastAsia="Times New Roman" w:hAnsi="Segoe UI" w:cs="Segoe UI"/>
                <w:lang w:val="en-GB"/>
              </w:rPr>
              <w:t>Total distributable profit as at 31 December 2022</w:t>
            </w:r>
          </w:p>
        </w:tc>
        <w:tc>
          <w:tcPr>
            <w:tcW w:w="3402" w:type="dxa"/>
          </w:tcPr>
          <w:p w14:paraId="28B7E573" w14:textId="503EA9CA" w:rsidR="00F72EF8" w:rsidRDefault="00F72EF8" w:rsidP="00F72EF8">
            <w:pPr>
              <w:jc w:val="right"/>
              <w:rPr>
                <w:rFonts w:ascii="Segoe UI" w:eastAsia="Times New Roman" w:hAnsi="Segoe UI" w:cs="Segoe UI"/>
                <w:lang w:val="en-GB"/>
              </w:rPr>
            </w:pPr>
            <w:r w:rsidRPr="00CC2F78">
              <w:rPr>
                <w:rFonts w:ascii="Segoe UI" w:eastAsia="Times New Roman" w:hAnsi="Segoe UI" w:cs="Segoe UI"/>
                <w:lang w:val="en-GB"/>
              </w:rPr>
              <w:t>115,783 thousand euros</w:t>
            </w:r>
          </w:p>
        </w:tc>
      </w:tr>
      <w:tr w:rsidR="00F72EF8" w14:paraId="23FE87D2" w14:textId="77777777" w:rsidTr="00F72EF8">
        <w:trPr>
          <w:trHeight w:val="340"/>
        </w:trPr>
        <w:tc>
          <w:tcPr>
            <w:tcW w:w="5524" w:type="dxa"/>
          </w:tcPr>
          <w:p w14:paraId="035EF02E" w14:textId="6153C84E" w:rsidR="00F72EF8" w:rsidRDefault="00F72EF8" w:rsidP="00CC2F78">
            <w:pPr>
              <w:jc w:val="both"/>
              <w:rPr>
                <w:rFonts w:ascii="Segoe UI" w:eastAsia="Times New Roman" w:hAnsi="Segoe UI" w:cs="Segoe UI"/>
                <w:lang w:val="en-GB"/>
              </w:rPr>
            </w:pPr>
            <w:r w:rsidRPr="00CC2F78">
              <w:rPr>
                <w:rFonts w:ascii="Segoe UI" w:eastAsia="Times New Roman" w:hAnsi="Segoe UI" w:cs="Segoe UI"/>
                <w:lang w:val="en-GB"/>
              </w:rPr>
              <w:t xml:space="preserve">Pay a dividend of </w:t>
            </w:r>
            <w:r>
              <w:rPr>
                <w:rFonts w:ascii="Segoe UI" w:eastAsia="Times New Roman" w:hAnsi="Segoe UI" w:cs="Segoe UI"/>
                <w:lang w:val="en-GB"/>
              </w:rPr>
              <w:t>0.68</w:t>
            </w:r>
            <w:r w:rsidRPr="00CC2F78">
              <w:rPr>
                <w:rFonts w:ascii="Segoe UI" w:eastAsia="Times New Roman" w:hAnsi="Segoe UI" w:cs="Segoe UI"/>
                <w:lang w:val="en-GB"/>
              </w:rPr>
              <w:t xml:space="preserve"> euros per share</w:t>
            </w:r>
          </w:p>
        </w:tc>
        <w:tc>
          <w:tcPr>
            <w:tcW w:w="3402" w:type="dxa"/>
          </w:tcPr>
          <w:p w14:paraId="6C30B78D" w14:textId="0FE125CB" w:rsidR="00F72EF8" w:rsidRDefault="00F72EF8" w:rsidP="00F72EF8">
            <w:pPr>
              <w:jc w:val="right"/>
              <w:rPr>
                <w:rFonts w:ascii="Segoe UI" w:eastAsia="Times New Roman" w:hAnsi="Segoe UI" w:cs="Segoe UI"/>
                <w:lang w:val="en-GB"/>
              </w:rPr>
            </w:pPr>
            <w:r>
              <w:rPr>
                <w:rFonts w:ascii="Segoe UI" w:eastAsia="Times New Roman" w:hAnsi="Segoe UI" w:cs="Segoe UI"/>
                <w:lang w:val="en-GB"/>
              </w:rPr>
              <w:t>27,</w:t>
            </w:r>
            <w:r w:rsidRPr="00372270">
              <w:rPr>
                <w:rFonts w:ascii="Segoe UI" w:eastAsia="Times New Roman" w:hAnsi="Segoe UI" w:cs="Segoe UI"/>
                <w:lang w:val="en-GB"/>
              </w:rPr>
              <w:t xml:space="preserve">696 </w:t>
            </w:r>
            <w:r w:rsidRPr="00CC2F78">
              <w:rPr>
                <w:rFonts w:ascii="Segoe UI" w:eastAsia="Times New Roman" w:hAnsi="Segoe UI" w:cs="Segoe UI"/>
                <w:lang w:val="en-GB"/>
              </w:rPr>
              <w:t>thousand euros</w:t>
            </w:r>
          </w:p>
        </w:tc>
      </w:tr>
      <w:tr w:rsidR="00F72EF8" w14:paraId="73384A1E" w14:textId="77777777" w:rsidTr="00F72EF8">
        <w:trPr>
          <w:trHeight w:val="340"/>
        </w:trPr>
        <w:tc>
          <w:tcPr>
            <w:tcW w:w="5524" w:type="dxa"/>
          </w:tcPr>
          <w:p w14:paraId="76AD56D5" w14:textId="049BFDC4" w:rsidR="00F72EF8" w:rsidRDefault="00F72EF8" w:rsidP="00CC2F78">
            <w:pPr>
              <w:jc w:val="both"/>
              <w:rPr>
                <w:rFonts w:ascii="Segoe UI" w:eastAsia="Times New Roman" w:hAnsi="Segoe UI" w:cs="Segoe UI"/>
                <w:lang w:val="en-GB"/>
              </w:rPr>
            </w:pPr>
            <w:r w:rsidRPr="00CC2F78">
              <w:rPr>
                <w:rFonts w:ascii="Segoe UI" w:eastAsia="Times New Roman" w:hAnsi="Segoe UI" w:cs="Segoe UI"/>
                <w:lang w:val="en-GB"/>
              </w:rPr>
              <w:t>Retained earnings after the distribution of profits</w:t>
            </w:r>
          </w:p>
        </w:tc>
        <w:tc>
          <w:tcPr>
            <w:tcW w:w="3402" w:type="dxa"/>
          </w:tcPr>
          <w:p w14:paraId="72E91785" w14:textId="7AE6795D" w:rsidR="00F72EF8" w:rsidRDefault="00F72EF8" w:rsidP="00F72EF8">
            <w:pPr>
              <w:jc w:val="right"/>
              <w:rPr>
                <w:rFonts w:ascii="Segoe UI" w:eastAsia="Times New Roman" w:hAnsi="Segoe UI" w:cs="Segoe UI"/>
                <w:lang w:val="en-GB"/>
              </w:rPr>
            </w:pPr>
            <w:r>
              <w:rPr>
                <w:rFonts w:ascii="Segoe UI" w:eastAsia="Times New Roman" w:hAnsi="Segoe UI" w:cs="Segoe UI"/>
                <w:lang w:val="en-GB"/>
              </w:rPr>
              <w:t>88,</w:t>
            </w:r>
            <w:r w:rsidRPr="00372270">
              <w:rPr>
                <w:rFonts w:ascii="Segoe UI" w:eastAsia="Times New Roman" w:hAnsi="Segoe UI" w:cs="Segoe UI"/>
                <w:lang w:val="en-GB"/>
              </w:rPr>
              <w:t xml:space="preserve">087 </w:t>
            </w:r>
            <w:r w:rsidRPr="00CC2F78">
              <w:rPr>
                <w:rFonts w:ascii="Segoe UI" w:eastAsia="Times New Roman" w:hAnsi="Segoe UI" w:cs="Segoe UI"/>
                <w:lang w:val="en-GB"/>
              </w:rPr>
              <w:t>thousand euros</w:t>
            </w:r>
          </w:p>
        </w:tc>
      </w:tr>
    </w:tbl>
    <w:p w14:paraId="1F8E356A" w14:textId="77777777" w:rsidR="00F72EF8" w:rsidRDefault="00F72EF8" w:rsidP="00CC2F78">
      <w:pPr>
        <w:jc w:val="both"/>
        <w:rPr>
          <w:rFonts w:ascii="Segoe UI" w:eastAsia="Times New Roman" w:hAnsi="Segoe UI" w:cs="Segoe UI"/>
          <w:lang w:val="en-GB" w:eastAsia="et-EE"/>
        </w:rPr>
      </w:pPr>
    </w:p>
    <w:p w14:paraId="04C2700E" w14:textId="74855FF7" w:rsidR="00A41E8C" w:rsidRDefault="00CC2F78" w:rsidP="00CC2F78">
      <w:pPr>
        <w:jc w:val="both"/>
        <w:rPr>
          <w:rFonts w:ascii="Segoe UI" w:eastAsia="Times New Roman" w:hAnsi="Segoe UI" w:cs="Segoe UI"/>
          <w:lang w:val="en-GB" w:eastAsia="et-EE"/>
        </w:rPr>
      </w:pPr>
      <w:r w:rsidRPr="00CC2F78">
        <w:rPr>
          <w:rFonts w:ascii="Segoe UI" w:eastAsia="Times New Roman" w:hAnsi="Segoe UI" w:cs="Segoe UI"/>
          <w:lang w:val="en-GB" w:eastAsia="et-EE"/>
        </w:rPr>
        <w:t>The list of shareholders entitled to receive the dividend will</w:t>
      </w:r>
      <w:bookmarkStart w:id="0" w:name="_GoBack"/>
      <w:bookmarkEnd w:id="0"/>
      <w:r w:rsidRPr="00CC2F78">
        <w:rPr>
          <w:rFonts w:ascii="Segoe UI" w:eastAsia="Times New Roman" w:hAnsi="Segoe UI" w:cs="Segoe UI"/>
          <w:lang w:val="en-GB" w:eastAsia="et-EE"/>
        </w:rPr>
        <w:t xml:space="preserve"> be fixed on 31st of March 2023 as at the end of the business day of Nasdaq CSD’s Estonian settlement system. The dividend will be paid to shareholders on 5th of April 2023 by transfer to the shareholder’s bank account.</w:t>
      </w:r>
    </w:p>
    <w:p w14:paraId="3BBF77DF" w14:textId="77777777" w:rsidR="00CC2F78" w:rsidRPr="008F5B53" w:rsidRDefault="00CC2F78" w:rsidP="00CC2F78">
      <w:pPr>
        <w:jc w:val="both"/>
        <w:rPr>
          <w:rFonts w:ascii="Segoe UI" w:hAnsi="Segoe UI" w:cs="Segoe UI"/>
          <w:lang w:val="en-GB"/>
        </w:rPr>
      </w:pPr>
    </w:p>
    <w:p w14:paraId="5690B60C" w14:textId="5E9D68DF" w:rsidR="0028371F" w:rsidRPr="0028371F" w:rsidRDefault="0028371F" w:rsidP="0028371F">
      <w:pPr>
        <w:jc w:val="both"/>
        <w:rPr>
          <w:rFonts w:ascii="Segoe UI" w:hAnsi="Segoe UI" w:cs="Segoe UI"/>
          <w:b/>
          <w:lang w:val="en-GB"/>
        </w:rPr>
      </w:pPr>
      <w:r w:rsidRPr="0028371F">
        <w:rPr>
          <w:rFonts w:ascii="Segoe UI" w:hAnsi="Segoe UI" w:cs="Segoe UI"/>
          <w:b/>
          <w:lang w:val="en-GB"/>
        </w:rPr>
        <w:t xml:space="preserve">3. </w:t>
      </w:r>
      <w:r w:rsidR="00CC2F78" w:rsidRPr="00CC2F78">
        <w:rPr>
          <w:rFonts w:ascii="Segoe UI" w:hAnsi="Segoe UI" w:cs="Segoe UI"/>
          <w:b/>
          <w:lang w:val="en-GB"/>
        </w:rPr>
        <w:t>Recalling a Supervisory Board member and electing a new Supervisory Board member</w:t>
      </w:r>
    </w:p>
    <w:p w14:paraId="07C41A43" w14:textId="77777777" w:rsidR="0028371F" w:rsidRDefault="0028371F" w:rsidP="0028371F">
      <w:pPr>
        <w:jc w:val="both"/>
        <w:rPr>
          <w:rFonts w:ascii="Segoe UI" w:hAnsi="Segoe UI" w:cs="Segoe UI"/>
          <w:lang w:val="en-GB"/>
        </w:rPr>
      </w:pPr>
      <w:bookmarkStart w:id="1" w:name="OLE_LINK1"/>
      <w:bookmarkStart w:id="2" w:name="OLE_LINK2"/>
    </w:p>
    <w:bookmarkEnd w:id="1"/>
    <w:bookmarkEnd w:id="2"/>
    <w:p w14:paraId="1AFA20CE" w14:textId="772C4FEF" w:rsidR="009826D8" w:rsidRPr="009826D8" w:rsidRDefault="00CC2F78" w:rsidP="009826D8">
      <w:pPr>
        <w:jc w:val="both"/>
        <w:rPr>
          <w:rFonts w:ascii="Arial Unicode MS" w:eastAsia="Arial Unicode MS" w:hAnsi="Arial Unicode MS" w:cs="Arial Unicode MS"/>
          <w:sz w:val="18"/>
          <w:szCs w:val="18"/>
          <w:lang w:val="en-GB" w:eastAsia="et-EE"/>
        </w:rPr>
      </w:pPr>
      <w:r w:rsidRPr="00CC2F78">
        <w:rPr>
          <w:rFonts w:ascii="Segoe UI" w:hAnsi="Segoe UI" w:cs="Segoe UI"/>
          <w:lang w:val="en-GB"/>
        </w:rPr>
        <w:t>To recall Tallinna Kaubamaja Grupp AS Supervisory Board member Andres Järving, whose powers expire upon recall, and to elect Kristo Anton</w:t>
      </w:r>
      <w:r w:rsidR="00567D3F">
        <w:rPr>
          <w:rFonts w:ascii="Segoe UI" w:hAnsi="Segoe UI" w:cs="Segoe UI"/>
          <w:lang w:val="en-GB"/>
        </w:rPr>
        <w:t xml:space="preserve"> (personal identification code </w:t>
      </w:r>
      <w:r w:rsidR="00567D3F" w:rsidRPr="00567D3F">
        <w:rPr>
          <w:rFonts w:ascii="Segoe UI" w:hAnsi="Segoe UI" w:cs="Segoe UI"/>
          <w:lang w:val="en-GB"/>
        </w:rPr>
        <w:t>37605250302</w:t>
      </w:r>
      <w:r w:rsidR="00567D3F">
        <w:rPr>
          <w:rFonts w:ascii="Segoe UI" w:hAnsi="Segoe UI" w:cs="Segoe UI"/>
          <w:lang w:val="en-GB"/>
        </w:rPr>
        <w:t>)</w:t>
      </w:r>
      <w:r w:rsidRPr="00CC2F78">
        <w:rPr>
          <w:rFonts w:ascii="Segoe UI" w:hAnsi="Segoe UI" w:cs="Segoe UI"/>
          <w:lang w:val="en-GB"/>
        </w:rPr>
        <w:t xml:space="preserve"> as a new member of Tallinna Kaubamaja Grupp AS Supervisory Board for a 3-year term from 17.03.2023. The remuneration paid to the new member of the Supervisory Board is 2,000 euros per month.</w:t>
      </w:r>
    </w:p>
    <w:p w14:paraId="74361E28" w14:textId="77777777" w:rsidR="009826D8" w:rsidRPr="009826D8" w:rsidRDefault="009826D8" w:rsidP="009826D8">
      <w:pPr>
        <w:jc w:val="both"/>
        <w:rPr>
          <w:rFonts w:ascii="Arial Unicode MS" w:eastAsia="Arial Unicode MS" w:hAnsi="Arial Unicode MS" w:cs="Arial Unicode MS"/>
          <w:sz w:val="18"/>
          <w:szCs w:val="18"/>
          <w:lang w:val="en-GB" w:eastAsia="et-EE"/>
        </w:rPr>
      </w:pPr>
    </w:p>
    <w:sectPr w:rsidR="009826D8" w:rsidRPr="009826D8" w:rsidSect="004459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626A2"/>
    <w:multiLevelType w:val="multilevel"/>
    <w:tmpl w:val="BB80B9FC"/>
    <w:lvl w:ilvl="0">
      <w:start w:val="1"/>
      <w:numFmt w:val="decimal"/>
      <w:pStyle w:val="Heading1"/>
      <w:lvlText w:val="%1."/>
      <w:lvlJc w:val="left"/>
      <w:pPr>
        <w:ind w:left="360" w:hanging="360"/>
      </w:pPr>
      <w:rPr>
        <w:rFonts w:ascii="Garamond" w:hAnsi="Garamond" w:hint="default"/>
        <w:b/>
        <w:i w:val="0"/>
        <w:sz w:val="24"/>
        <w:szCs w:val="20"/>
      </w:rPr>
    </w:lvl>
    <w:lvl w:ilvl="1">
      <w:start w:val="1"/>
      <w:numFmt w:val="decimal"/>
      <w:pStyle w:val="Heading2"/>
      <w:isLgl/>
      <w:lvlText w:val="%1.%2"/>
      <w:lvlJc w:val="left"/>
      <w:pPr>
        <w:tabs>
          <w:tab w:val="num" w:pos="680"/>
        </w:tabs>
        <w:ind w:left="680" w:hanging="680"/>
      </w:pPr>
      <w:rPr>
        <w:i w:val="0"/>
      </w:rPr>
    </w:lvl>
    <w:lvl w:ilvl="2">
      <w:start w:val="1"/>
      <w:numFmt w:val="decimal"/>
      <w:pStyle w:val="Heading3"/>
      <w:isLgl/>
      <w:lvlText w:val="%1.%2.%3"/>
      <w:lvlJc w:val="left"/>
      <w:pPr>
        <w:tabs>
          <w:tab w:val="num" w:pos="680"/>
        </w:tabs>
        <w:ind w:left="680" w:hanging="680"/>
      </w:pPr>
      <w:rPr>
        <w:rFonts w:ascii="Verdana" w:hAnsi="Verdana" w:hint="default"/>
        <w:sz w:val="20"/>
        <w:szCs w:val="20"/>
      </w:rPr>
    </w:lvl>
    <w:lvl w:ilvl="3">
      <w:start w:val="1"/>
      <w:numFmt w:val="decimal"/>
      <w:pStyle w:val="Heading4"/>
      <w:isLgl/>
      <w:lvlText w:val="(%4)"/>
      <w:lvlJc w:val="left"/>
      <w:pPr>
        <w:tabs>
          <w:tab w:val="num" w:pos="454"/>
        </w:tabs>
        <w:ind w:left="0" w:firstLine="0"/>
      </w:pPr>
      <w:rPr>
        <w:rFonts w:ascii="Times New Roman" w:hAnsi="Times New Roman" w:cs="Times New Roman" w:hint="default"/>
        <w:sz w:val="22"/>
      </w:rPr>
    </w:lvl>
    <w:lvl w:ilvl="4">
      <w:start w:val="1"/>
      <w:numFmt w:val="lowerRoman"/>
      <w:pStyle w:val="Heading5"/>
      <w:lvlText w:val="(%5)"/>
      <w:lvlJc w:val="left"/>
      <w:pPr>
        <w:tabs>
          <w:tab w:val="num" w:pos="1741"/>
        </w:tabs>
        <w:ind w:left="1418" w:hanging="397"/>
      </w:pPr>
    </w:lvl>
    <w:lvl w:ilvl="5">
      <w:start w:val="1"/>
      <w:numFmt w:val="decimal"/>
      <w:isLgl/>
      <w:lvlText w:val="%1.%2.%3.%4.%5.%6"/>
      <w:lvlJc w:val="left"/>
      <w:pPr>
        <w:tabs>
          <w:tab w:val="num" w:pos="1800"/>
        </w:tabs>
        <w:ind w:left="1800" w:hanging="1800"/>
      </w:pPr>
    </w:lvl>
    <w:lvl w:ilvl="6">
      <w:start w:val="1"/>
      <w:numFmt w:val="decimal"/>
      <w:isLgl/>
      <w:lvlText w:val="%1.%2.%3.%4.%5.%6.%7"/>
      <w:lvlJc w:val="left"/>
      <w:pPr>
        <w:tabs>
          <w:tab w:val="num" w:pos="2160"/>
        </w:tabs>
        <w:ind w:left="2160" w:hanging="2160"/>
      </w:pPr>
    </w:lvl>
    <w:lvl w:ilvl="7">
      <w:start w:val="1"/>
      <w:numFmt w:val="decimal"/>
      <w:isLgl/>
      <w:lvlText w:val="%1.%2.%3.%4.%5.%6.%7.%8"/>
      <w:lvlJc w:val="left"/>
      <w:pPr>
        <w:tabs>
          <w:tab w:val="num" w:pos="2160"/>
        </w:tabs>
        <w:ind w:left="2160" w:hanging="2160"/>
      </w:pPr>
    </w:lvl>
    <w:lvl w:ilvl="8">
      <w:start w:val="1"/>
      <w:numFmt w:val="decimal"/>
      <w:isLgl/>
      <w:lvlText w:val="%1.%2.%3.%4.%5.%6.%7.%8.%9"/>
      <w:lvlJc w:val="left"/>
      <w:pPr>
        <w:tabs>
          <w:tab w:val="num" w:pos="2520"/>
        </w:tabs>
        <w:ind w:left="2520" w:hanging="2520"/>
      </w:pPr>
    </w:lvl>
  </w:abstractNum>
  <w:abstractNum w:abstractNumId="1" w15:restartNumberingAfterBreak="0">
    <w:nsid w:val="3E7F5808"/>
    <w:multiLevelType w:val="hybridMultilevel"/>
    <w:tmpl w:val="6EFC29C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890"/>
    <w:rsid w:val="00063FC6"/>
    <w:rsid w:val="00072B40"/>
    <w:rsid w:val="000A7F33"/>
    <w:rsid w:val="000D4DFC"/>
    <w:rsid w:val="0028371F"/>
    <w:rsid w:val="002A1890"/>
    <w:rsid w:val="002E5161"/>
    <w:rsid w:val="003265A4"/>
    <w:rsid w:val="003561F9"/>
    <w:rsid w:val="00365BFB"/>
    <w:rsid w:val="00372270"/>
    <w:rsid w:val="003C7890"/>
    <w:rsid w:val="003D154F"/>
    <w:rsid w:val="003D1D93"/>
    <w:rsid w:val="004434D4"/>
    <w:rsid w:val="004A7F75"/>
    <w:rsid w:val="004C7018"/>
    <w:rsid w:val="004F0196"/>
    <w:rsid w:val="00546CCA"/>
    <w:rsid w:val="00567D3F"/>
    <w:rsid w:val="005A1884"/>
    <w:rsid w:val="00634600"/>
    <w:rsid w:val="00641A2E"/>
    <w:rsid w:val="006616BC"/>
    <w:rsid w:val="006A1D24"/>
    <w:rsid w:val="006C1E38"/>
    <w:rsid w:val="006D3FD6"/>
    <w:rsid w:val="007A686A"/>
    <w:rsid w:val="00872A5D"/>
    <w:rsid w:val="008D3054"/>
    <w:rsid w:val="008E3AC2"/>
    <w:rsid w:val="008F5B53"/>
    <w:rsid w:val="00900382"/>
    <w:rsid w:val="00932308"/>
    <w:rsid w:val="009826D8"/>
    <w:rsid w:val="00986F3D"/>
    <w:rsid w:val="00A41E8C"/>
    <w:rsid w:val="00A67703"/>
    <w:rsid w:val="00A928FF"/>
    <w:rsid w:val="00AE1AA9"/>
    <w:rsid w:val="00B35283"/>
    <w:rsid w:val="00C07BBD"/>
    <w:rsid w:val="00CA4F33"/>
    <w:rsid w:val="00CA6215"/>
    <w:rsid w:val="00CC2F78"/>
    <w:rsid w:val="00CE081F"/>
    <w:rsid w:val="00D35A85"/>
    <w:rsid w:val="00D90529"/>
    <w:rsid w:val="00DE2DB8"/>
    <w:rsid w:val="00E31021"/>
    <w:rsid w:val="00E633AD"/>
    <w:rsid w:val="00E77A6E"/>
    <w:rsid w:val="00EF39E6"/>
    <w:rsid w:val="00F079AE"/>
    <w:rsid w:val="00F4435C"/>
    <w:rsid w:val="00F72EF8"/>
    <w:rsid w:val="00F7661D"/>
    <w:rsid w:val="00FF31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04AD8"/>
  <w15:docId w15:val="{85E5EFDE-8DBA-46A6-AA9C-FEE3B53C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633AD"/>
    <w:pPr>
      <w:numPr>
        <w:numId w:val="2"/>
      </w:numPr>
      <w:spacing w:before="120" w:after="60"/>
      <w:jc w:val="both"/>
      <w:outlineLvl w:val="0"/>
    </w:pPr>
    <w:rPr>
      <w:rFonts w:ascii="Garamond" w:hAnsi="Garamond" w:cs="Times New Roman"/>
      <w:b/>
      <w:bCs/>
      <w:kern w:val="36"/>
      <w:sz w:val="24"/>
      <w:szCs w:val="24"/>
      <w:lang w:eastAsia="et-EE"/>
    </w:rPr>
  </w:style>
  <w:style w:type="paragraph" w:styleId="Heading2">
    <w:name w:val="heading 2"/>
    <w:basedOn w:val="Normal"/>
    <w:link w:val="Heading2Char"/>
    <w:uiPriority w:val="9"/>
    <w:semiHidden/>
    <w:unhideWhenUsed/>
    <w:qFormat/>
    <w:rsid w:val="00E633AD"/>
    <w:pPr>
      <w:numPr>
        <w:ilvl w:val="1"/>
        <w:numId w:val="2"/>
      </w:numPr>
      <w:spacing w:before="60"/>
      <w:jc w:val="both"/>
      <w:outlineLvl w:val="1"/>
    </w:pPr>
    <w:rPr>
      <w:rFonts w:ascii="Garamond" w:hAnsi="Garamond" w:cs="Times New Roman"/>
      <w:sz w:val="24"/>
      <w:szCs w:val="24"/>
      <w:lang w:eastAsia="et-EE"/>
    </w:rPr>
  </w:style>
  <w:style w:type="paragraph" w:styleId="Heading3">
    <w:name w:val="heading 3"/>
    <w:basedOn w:val="Normal"/>
    <w:link w:val="Heading3Char"/>
    <w:uiPriority w:val="9"/>
    <w:semiHidden/>
    <w:unhideWhenUsed/>
    <w:qFormat/>
    <w:rsid w:val="00E633AD"/>
    <w:pPr>
      <w:numPr>
        <w:ilvl w:val="2"/>
        <w:numId w:val="2"/>
      </w:numPr>
      <w:spacing w:before="60" w:after="60"/>
      <w:jc w:val="both"/>
      <w:outlineLvl w:val="2"/>
    </w:pPr>
    <w:rPr>
      <w:rFonts w:ascii="Garamond" w:hAnsi="Garamond" w:cs="Times New Roman"/>
      <w:sz w:val="24"/>
      <w:szCs w:val="24"/>
      <w:lang w:eastAsia="et-EE"/>
    </w:rPr>
  </w:style>
  <w:style w:type="paragraph" w:styleId="Heading4">
    <w:name w:val="heading 4"/>
    <w:basedOn w:val="Normal"/>
    <w:link w:val="Heading4Char"/>
    <w:uiPriority w:val="9"/>
    <w:semiHidden/>
    <w:unhideWhenUsed/>
    <w:qFormat/>
    <w:rsid w:val="00E633AD"/>
    <w:pPr>
      <w:numPr>
        <w:ilvl w:val="3"/>
        <w:numId w:val="2"/>
      </w:numPr>
      <w:spacing w:before="120"/>
      <w:jc w:val="both"/>
      <w:outlineLvl w:val="3"/>
    </w:pPr>
    <w:rPr>
      <w:rFonts w:ascii="Verdana" w:hAnsi="Verdana" w:cs="Times New Roman"/>
      <w:sz w:val="20"/>
      <w:szCs w:val="20"/>
      <w:lang w:eastAsia="et-EE"/>
    </w:rPr>
  </w:style>
  <w:style w:type="paragraph" w:styleId="Heading5">
    <w:name w:val="heading 5"/>
    <w:basedOn w:val="Normal"/>
    <w:link w:val="Heading5Char"/>
    <w:uiPriority w:val="9"/>
    <w:semiHidden/>
    <w:unhideWhenUsed/>
    <w:qFormat/>
    <w:rsid w:val="00E633AD"/>
    <w:pPr>
      <w:numPr>
        <w:ilvl w:val="4"/>
        <w:numId w:val="2"/>
      </w:numPr>
      <w:spacing w:before="240" w:after="60"/>
      <w:jc w:val="both"/>
      <w:outlineLvl w:val="4"/>
    </w:pPr>
    <w:rPr>
      <w:rFonts w:ascii="Verdana" w:hAnsi="Verdana" w:cs="Times New Roman"/>
      <w:sz w:val="20"/>
      <w:szCs w:val="2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5A4"/>
    <w:rPr>
      <w:rFonts w:ascii="Calibri" w:eastAsia="Calibri" w:hAnsi="Calibri" w:cs="Times New Roman"/>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03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382"/>
    <w:rPr>
      <w:rFonts w:ascii="Segoe UI" w:hAnsi="Segoe UI" w:cs="Segoe UI"/>
      <w:sz w:val="18"/>
      <w:szCs w:val="18"/>
    </w:rPr>
  </w:style>
  <w:style w:type="paragraph" w:styleId="ListParagraph">
    <w:name w:val="List Paragraph"/>
    <w:basedOn w:val="Normal"/>
    <w:uiPriority w:val="34"/>
    <w:qFormat/>
    <w:rsid w:val="00900382"/>
    <w:pPr>
      <w:ind w:left="720"/>
      <w:contextualSpacing/>
    </w:pPr>
  </w:style>
  <w:style w:type="character" w:styleId="CommentReference">
    <w:name w:val="annotation reference"/>
    <w:basedOn w:val="DefaultParagraphFont"/>
    <w:uiPriority w:val="99"/>
    <w:semiHidden/>
    <w:unhideWhenUsed/>
    <w:rsid w:val="00E633AD"/>
    <w:rPr>
      <w:sz w:val="16"/>
      <w:szCs w:val="16"/>
    </w:rPr>
  </w:style>
  <w:style w:type="paragraph" w:styleId="CommentText">
    <w:name w:val="annotation text"/>
    <w:basedOn w:val="Normal"/>
    <w:link w:val="CommentTextChar"/>
    <w:uiPriority w:val="99"/>
    <w:semiHidden/>
    <w:unhideWhenUsed/>
    <w:rsid w:val="00E633AD"/>
    <w:rPr>
      <w:sz w:val="20"/>
      <w:szCs w:val="20"/>
    </w:rPr>
  </w:style>
  <w:style w:type="character" w:customStyle="1" w:styleId="CommentTextChar">
    <w:name w:val="Comment Text Char"/>
    <w:basedOn w:val="DefaultParagraphFont"/>
    <w:link w:val="CommentText"/>
    <w:uiPriority w:val="99"/>
    <w:semiHidden/>
    <w:rsid w:val="00E633AD"/>
    <w:rPr>
      <w:sz w:val="20"/>
      <w:szCs w:val="20"/>
    </w:rPr>
  </w:style>
  <w:style w:type="paragraph" w:styleId="CommentSubject">
    <w:name w:val="annotation subject"/>
    <w:basedOn w:val="CommentText"/>
    <w:next w:val="CommentText"/>
    <w:link w:val="CommentSubjectChar"/>
    <w:uiPriority w:val="99"/>
    <w:semiHidden/>
    <w:unhideWhenUsed/>
    <w:rsid w:val="00E633AD"/>
    <w:rPr>
      <w:b/>
      <w:bCs/>
    </w:rPr>
  </w:style>
  <w:style w:type="character" w:customStyle="1" w:styleId="CommentSubjectChar">
    <w:name w:val="Comment Subject Char"/>
    <w:basedOn w:val="CommentTextChar"/>
    <w:link w:val="CommentSubject"/>
    <w:uiPriority w:val="99"/>
    <w:semiHidden/>
    <w:rsid w:val="00E633AD"/>
    <w:rPr>
      <w:b/>
      <w:bCs/>
      <w:sz w:val="20"/>
      <w:szCs w:val="20"/>
    </w:rPr>
  </w:style>
  <w:style w:type="character" w:customStyle="1" w:styleId="Heading1Char">
    <w:name w:val="Heading 1 Char"/>
    <w:basedOn w:val="DefaultParagraphFont"/>
    <w:link w:val="Heading1"/>
    <w:uiPriority w:val="9"/>
    <w:rsid w:val="00E633AD"/>
    <w:rPr>
      <w:rFonts w:ascii="Garamond" w:hAnsi="Garamond" w:cs="Times New Roman"/>
      <w:b/>
      <w:bCs/>
      <w:kern w:val="36"/>
      <w:sz w:val="24"/>
      <w:szCs w:val="24"/>
      <w:lang w:eastAsia="et-EE"/>
    </w:rPr>
  </w:style>
  <w:style w:type="character" w:customStyle="1" w:styleId="Heading2Char">
    <w:name w:val="Heading 2 Char"/>
    <w:basedOn w:val="DefaultParagraphFont"/>
    <w:link w:val="Heading2"/>
    <w:uiPriority w:val="9"/>
    <w:semiHidden/>
    <w:rsid w:val="00E633AD"/>
    <w:rPr>
      <w:rFonts w:ascii="Garamond" w:hAnsi="Garamond" w:cs="Times New Roman"/>
      <w:sz w:val="24"/>
      <w:szCs w:val="24"/>
      <w:lang w:eastAsia="et-EE"/>
    </w:rPr>
  </w:style>
  <w:style w:type="character" w:customStyle="1" w:styleId="Heading3Char">
    <w:name w:val="Heading 3 Char"/>
    <w:basedOn w:val="DefaultParagraphFont"/>
    <w:link w:val="Heading3"/>
    <w:uiPriority w:val="9"/>
    <w:semiHidden/>
    <w:rsid w:val="00E633AD"/>
    <w:rPr>
      <w:rFonts w:ascii="Garamond" w:hAnsi="Garamond" w:cs="Times New Roman"/>
      <w:sz w:val="24"/>
      <w:szCs w:val="24"/>
      <w:lang w:eastAsia="et-EE"/>
    </w:rPr>
  </w:style>
  <w:style w:type="character" w:customStyle="1" w:styleId="Heading4Char">
    <w:name w:val="Heading 4 Char"/>
    <w:basedOn w:val="DefaultParagraphFont"/>
    <w:link w:val="Heading4"/>
    <w:uiPriority w:val="9"/>
    <w:semiHidden/>
    <w:rsid w:val="00E633AD"/>
    <w:rPr>
      <w:rFonts w:ascii="Verdana" w:hAnsi="Verdana" w:cs="Times New Roman"/>
      <w:sz w:val="20"/>
      <w:szCs w:val="20"/>
      <w:lang w:eastAsia="et-EE"/>
    </w:rPr>
  </w:style>
  <w:style w:type="character" w:customStyle="1" w:styleId="Heading5Char">
    <w:name w:val="Heading 5 Char"/>
    <w:basedOn w:val="DefaultParagraphFont"/>
    <w:link w:val="Heading5"/>
    <w:uiPriority w:val="9"/>
    <w:semiHidden/>
    <w:rsid w:val="00E633AD"/>
    <w:rPr>
      <w:rFonts w:ascii="Verdana" w:hAnsi="Verdana" w:cs="Times New Roman"/>
      <w:sz w:val="20"/>
      <w:szCs w:val="20"/>
      <w:lang w:eastAsia="et-EE"/>
    </w:rPr>
  </w:style>
  <w:style w:type="table" w:customStyle="1" w:styleId="TableGrid1">
    <w:name w:val="Table Grid1"/>
    <w:basedOn w:val="TableNormal"/>
    <w:next w:val="TableGrid"/>
    <w:rsid w:val="009826D8"/>
    <w:rPr>
      <w:rFonts w:ascii="Times New Roman" w:eastAsia="Times New Roman" w:hAnsi="Times New Roman" w:cs="Times New Roman"/>
      <w:sz w:val="20"/>
      <w:szCs w:val="20"/>
      <w:lang w:val="en-GB"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D7299-4982-4566-9FC6-E600167E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TKM</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Tulve</dc:creator>
  <cp:lastModifiedBy>Marit Vooremäe</cp:lastModifiedBy>
  <cp:revision>5</cp:revision>
  <dcterms:created xsi:type="dcterms:W3CDTF">2023-02-08T09:07:00Z</dcterms:created>
  <dcterms:modified xsi:type="dcterms:W3CDTF">2023-02-21T07:26:00Z</dcterms:modified>
</cp:coreProperties>
</file>